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2C" w:rsidRDefault="00C4464B" w:rsidP="006250E2">
      <w:pPr>
        <w:tabs>
          <w:tab w:val="left" w:pos="6840"/>
        </w:tabs>
        <w:jc w:val="right"/>
      </w:pPr>
      <w:r w:rsidRPr="00C4464B">
        <w:rPr>
          <w:sz w:val="28"/>
          <w:szCs w:val="28"/>
        </w:rPr>
        <w:tab/>
      </w:r>
    </w:p>
    <w:p w:rsidR="00C71336" w:rsidRPr="00C71336" w:rsidRDefault="00C71336" w:rsidP="00C71336">
      <w:pPr>
        <w:spacing w:after="0" w:line="240" w:lineRule="auto"/>
        <w:ind w:left="0"/>
      </w:pPr>
    </w:p>
    <w:p w:rsidR="00C71336" w:rsidRPr="00C71336" w:rsidRDefault="00C71336" w:rsidP="00C71336">
      <w:pPr>
        <w:ind w:left="0"/>
      </w:pPr>
      <w:r w:rsidRPr="00C71336">
        <w:t xml:space="preserve">          Prognoza privind situatia cursurilor de formare profesionala pe care AJOFM Vrancea le va demara in luna </w:t>
      </w:r>
      <w:r w:rsidR="00EA188F">
        <w:t>aprilie</w:t>
      </w:r>
      <w:r w:rsidR="0088642C">
        <w:t xml:space="preserve"> </w:t>
      </w:r>
      <w:r w:rsidRPr="00C71336">
        <w:t>20</w:t>
      </w:r>
      <w:r w:rsidR="00A85FB2">
        <w:t>2</w:t>
      </w:r>
      <w:r w:rsidR="001958B4">
        <w:t>2</w:t>
      </w:r>
      <w:r w:rsidRPr="00C71336">
        <w:t>.</w:t>
      </w:r>
    </w:p>
    <w:p w:rsidR="00010AA0" w:rsidRPr="00C71336" w:rsidRDefault="00C71336" w:rsidP="00C71336">
      <w:pPr>
        <w:tabs>
          <w:tab w:val="center" w:pos="4320"/>
          <w:tab w:val="right" w:pos="8640"/>
        </w:tabs>
        <w:ind w:left="0"/>
      </w:pPr>
      <w:r w:rsidRPr="00C71336">
        <w:t xml:space="preserve"> </w:t>
      </w: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Frizer</w:t>
            </w:r>
          </w:p>
        </w:tc>
        <w:tc>
          <w:tcPr>
            <w:tcW w:w="1980"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center"/>
              <w:rPr>
                <w:lang w:val="en-GB"/>
              </w:rPr>
            </w:pPr>
            <w:r>
              <w:rPr>
                <w:lang w:val="en-GB"/>
              </w:rPr>
              <w:t>5141.1.3</w:t>
            </w:r>
          </w:p>
        </w:tc>
        <w:tc>
          <w:tcPr>
            <w:tcW w:w="2160" w:type="dxa"/>
            <w:tcBorders>
              <w:top w:val="single" w:sz="4" w:space="0" w:color="auto"/>
              <w:left w:val="single" w:sz="4" w:space="0" w:color="auto"/>
              <w:bottom w:val="single" w:sz="4" w:space="0" w:color="auto"/>
              <w:right w:val="single" w:sz="4" w:space="0" w:color="auto"/>
            </w:tcBorders>
          </w:tcPr>
          <w:p w:rsidR="00D40B3F" w:rsidRDefault="00D40B3F"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D40B3F"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670BA"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Lucrator in structuri pentru constructii</w:t>
            </w:r>
          </w:p>
        </w:tc>
        <w:tc>
          <w:tcPr>
            <w:tcW w:w="1980"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center"/>
              <w:rPr>
                <w:lang w:val="en-GB"/>
              </w:rPr>
            </w:pPr>
            <w:r>
              <w:rPr>
                <w:lang w:val="en-GB"/>
              </w:rPr>
              <w:t>7122.1.1</w:t>
            </w:r>
          </w:p>
        </w:tc>
        <w:tc>
          <w:tcPr>
            <w:tcW w:w="216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Operator introducere, validare si prelucrare date</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center"/>
              <w:rPr>
                <w:lang w:val="en-GB"/>
              </w:rPr>
            </w:pPr>
            <w:r>
              <w:rPr>
                <w:lang w:val="en-GB"/>
              </w:rPr>
              <w:t>4113.0.1</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D40B3F"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3</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D40B3F"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42</w:t>
            </w:r>
          </w:p>
        </w:tc>
      </w:tr>
    </w:tbl>
    <w:p w:rsidR="00B07BA0" w:rsidRDefault="00B07BA0" w:rsidP="00C71336">
      <w:pPr>
        <w:ind w:left="1134"/>
        <w:jc w:val="left"/>
        <w:rPr>
          <w:rFonts w:ascii="Times New Roman" w:eastAsia="Times New Roman" w:hAnsi="Times New Roman"/>
          <w:sz w:val="24"/>
          <w:szCs w:val="24"/>
        </w:rPr>
      </w:pPr>
    </w:p>
    <w:p w:rsidR="00C71336" w:rsidRDefault="00C71336" w:rsidP="00C71336">
      <w:pPr>
        <w:ind w:left="1134"/>
        <w:jc w:val="left"/>
        <w:rPr>
          <w:rFonts w:ascii="Times New Roman" w:eastAsia="Times New Roman" w:hAnsi="Times New Roman"/>
          <w:sz w:val="24"/>
          <w:szCs w:val="24"/>
        </w:rPr>
      </w:pPr>
    </w:p>
    <w:p w:rsidR="006250E2" w:rsidRDefault="006250E2" w:rsidP="00C71336">
      <w:pPr>
        <w:ind w:left="1134"/>
        <w:jc w:val="left"/>
        <w:rPr>
          <w:rFonts w:ascii="Times New Roman" w:eastAsia="Times New Roman" w:hAnsi="Times New Roman"/>
          <w:sz w:val="24"/>
          <w:szCs w:val="24"/>
        </w:rPr>
      </w:pPr>
    </w:p>
    <w:p w:rsidR="006250E2" w:rsidRDefault="006250E2" w:rsidP="00C71336">
      <w:pPr>
        <w:ind w:left="1134"/>
        <w:jc w:val="left"/>
        <w:rPr>
          <w:rFonts w:ascii="Times New Roman" w:eastAsia="Times New Roman" w:hAnsi="Times New Roman"/>
          <w:sz w:val="24"/>
          <w:szCs w:val="24"/>
        </w:rPr>
      </w:pPr>
    </w:p>
    <w:p w:rsidR="006250E2" w:rsidRDefault="006250E2" w:rsidP="00C71336">
      <w:pPr>
        <w:ind w:left="1134"/>
        <w:jc w:val="left"/>
        <w:rPr>
          <w:rFonts w:ascii="Times New Roman" w:eastAsia="Times New Roman" w:hAnsi="Times New Roman"/>
          <w:sz w:val="24"/>
          <w:szCs w:val="24"/>
        </w:rPr>
      </w:pPr>
    </w:p>
    <w:p w:rsidR="006250E2" w:rsidRDefault="006250E2" w:rsidP="00C71336">
      <w:pPr>
        <w:ind w:left="1134"/>
        <w:jc w:val="left"/>
        <w:rPr>
          <w:rFonts w:ascii="Times New Roman" w:eastAsia="Times New Roman" w:hAnsi="Times New Roman"/>
          <w:sz w:val="24"/>
          <w:szCs w:val="24"/>
        </w:rPr>
      </w:pPr>
    </w:p>
    <w:p w:rsidR="006250E2" w:rsidRDefault="006250E2" w:rsidP="00C71336">
      <w:pPr>
        <w:ind w:left="1134"/>
        <w:jc w:val="left"/>
        <w:rPr>
          <w:rFonts w:ascii="Times New Roman" w:eastAsia="Times New Roman" w:hAnsi="Times New Roman"/>
          <w:sz w:val="24"/>
          <w:szCs w:val="24"/>
        </w:rPr>
      </w:pPr>
    </w:p>
    <w:p w:rsidR="006250E2" w:rsidRPr="0088642C" w:rsidRDefault="006250E2" w:rsidP="00C71336">
      <w:pPr>
        <w:ind w:left="1134"/>
        <w:jc w:val="left"/>
        <w:rPr>
          <w:rFonts w:ascii="Times New Roman" w:eastAsia="Times New Roman" w:hAnsi="Times New Roman"/>
          <w:sz w:val="24"/>
          <w:szCs w:val="24"/>
        </w:rPr>
      </w:pPr>
      <w:bookmarkStart w:id="0" w:name="_GoBack"/>
      <w:bookmarkEnd w:id="0"/>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3A" w:rsidRDefault="00C44D3A" w:rsidP="00CD5B3B">
      <w:r>
        <w:separator/>
      </w:r>
    </w:p>
  </w:endnote>
  <w:endnote w:type="continuationSeparator" w:id="0">
    <w:p w:rsidR="00C44D3A" w:rsidRDefault="00C44D3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6A7F297E" wp14:editId="2B67A7F5">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6250E2">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6250E2">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C44D3A"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6EB40FC2" wp14:editId="0CCD7FFD">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250E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250E2">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3A" w:rsidRDefault="00C44D3A" w:rsidP="00CD5B3B">
      <w:r>
        <w:separator/>
      </w:r>
    </w:p>
  </w:footnote>
  <w:footnote w:type="continuationSeparator" w:id="0">
    <w:p w:rsidR="00C44D3A" w:rsidRDefault="00C44D3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0AA0"/>
    <w:rsid w:val="00011077"/>
    <w:rsid w:val="000270BE"/>
    <w:rsid w:val="00027DC9"/>
    <w:rsid w:val="000373AF"/>
    <w:rsid w:val="00042E51"/>
    <w:rsid w:val="000579F5"/>
    <w:rsid w:val="0007474B"/>
    <w:rsid w:val="000832EB"/>
    <w:rsid w:val="00087D5F"/>
    <w:rsid w:val="000946AD"/>
    <w:rsid w:val="000A2C80"/>
    <w:rsid w:val="000F27ED"/>
    <w:rsid w:val="000F688A"/>
    <w:rsid w:val="00100F36"/>
    <w:rsid w:val="001031AA"/>
    <w:rsid w:val="00116CA5"/>
    <w:rsid w:val="00124FBF"/>
    <w:rsid w:val="0014332B"/>
    <w:rsid w:val="001958B4"/>
    <w:rsid w:val="001C0CA2"/>
    <w:rsid w:val="001C1AFA"/>
    <w:rsid w:val="001E2DBF"/>
    <w:rsid w:val="001E6731"/>
    <w:rsid w:val="001E7303"/>
    <w:rsid w:val="00202F1F"/>
    <w:rsid w:val="00203C09"/>
    <w:rsid w:val="0021532B"/>
    <w:rsid w:val="002235F3"/>
    <w:rsid w:val="002278E7"/>
    <w:rsid w:val="00250A62"/>
    <w:rsid w:val="00261DAE"/>
    <w:rsid w:val="002673A1"/>
    <w:rsid w:val="0027489D"/>
    <w:rsid w:val="002A0E6F"/>
    <w:rsid w:val="002A5742"/>
    <w:rsid w:val="002C59E9"/>
    <w:rsid w:val="00305465"/>
    <w:rsid w:val="003070E3"/>
    <w:rsid w:val="003134B0"/>
    <w:rsid w:val="00363710"/>
    <w:rsid w:val="003670BA"/>
    <w:rsid w:val="00382192"/>
    <w:rsid w:val="00395093"/>
    <w:rsid w:val="003B526D"/>
    <w:rsid w:val="003C3C0A"/>
    <w:rsid w:val="003D5A60"/>
    <w:rsid w:val="003F06BD"/>
    <w:rsid w:val="003F2A27"/>
    <w:rsid w:val="00427C17"/>
    <w:rsid w:val="00441E15"/>
    <w:rsid w:val="00443AE8"/>
    <w:rsid w:val="004510F7"/>
    <w:rsid w:val="00451AD0"/>
    <w:rsid w:val="004525E4"/>
    <w:rsid w:val="004714D6"/>
    <w:rsid w:val="00477F1A"/>
    <w:rsid w:val="00493AD5"/>
    <w:rsid w:val="004A053B"/>
    <w:rsid w:val="004C68CC"/>
    <w:rsid w:val="004D0426"/>
    <w:rsid w:val="004D5F89"/>
    <w:rsid w:val="004E3CBB"/>
    <w:rsid w:val="004E3DCB"/>
    <w:rsid w:val="004E7C60"/>
    <w:rsid w:val="004F7C9A"/>
    <w:rsid w:val="00511D6E"/>
    <w:rsid w:val="0051391D"/>
    <w:rsid w:val="00522BF0"/>
    <w:rsid w:val="00531FAF"/>
    <w:rsid w:val="0053244B"/>
    <w:rsid w:val="0057501B"/>
    <w:rsid w:val="00597721"/>
    <w:rsid w:val="005A0010"/>
    <w:rsid w:val="005A1469"/>
    <w:rsid w:val="005A36DF"/>
    <w:rsid w:val="005B0684"/>
    <w:rsid w:val="005C0F35"/>
    <w:rsid w:val="005C14A2"/>
    <w:rsid w:val="005C51A1"/>
    <w:rsid w:val="005D656B"/>
    <w:rsid w:val="005E4565"/>
    <w:rsid w:val="005E6FFA"/>
    <w:rsid w:val="005F2913"/>
    <w:rsid w:val="006250E2"/>
    <w:rsid w:val="00631E67"/>
    <w:rsid w:val="00641464"/>
    <w:rsid w:val="006579C6"/>
    <w:rsid w:val="00670594"/>
    <w:rsid w:val="00672C03"/>
    <w:rsid w:val="006771D1"/>
    <w:rsid w:val="00685C2B"/>
    <w:rsid w:val="006A263E"/>
    <w:rsid w:val="006B528B"/>
    <w:rsid w:val="006C0650"/>
    <w:rsid w:val="006D6632"/>
    <w:rsid w:val="006E1F27"/>
    <w:rsid w:val="00722BEC"/>
    <w:rsid w:val="007322B0"/>
    <w:rsid w:val="00752825"/>
    <w:rsid w:val="00766E0E"/>
    <w:rsid w:val="0077119B"/>
    <w:rsid w:val="007914E2"/>
    <w:rsid w:val="007948D1"/>
    <w:rsid w:val="007A5C67"/>
    <w:rsid w:val="007B005F"/>
    <w:rsid w:val="007B6A6A"/>
    <w:rsid w:val="007C1E71"/>
    <w:rsid w:val="007C1EDA"/>
    <w:rsid w:val="007D14D7"/>
    <w:rsid w:val="007D2948"/>
    <w:rsid w:val="007E2F89"/>
    <w:rsid w:val="0080611A"/>
    <w:rsid w:val="00807056"/>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542F6"/>
    <w:rsid w:val="00A84CF2"/>
    <w:rsid w:val="00A85FB2"/>
    <w:rsid w:val="00A85FB4"/>
    <w:rsid w:val="00A8769C"/>
    <w:rsid w:val="00AA2C42"/>
    <w:rsid w:val="00AA4437"/>
    <w:rsid w:val="00AB4A5F"/>
    <w:rsid w:val="00AC65F1"/>
    <w:rsid w:val="00AD4EB3"/>
    <w:rsid w:val="00AE26B4"/>
    <w:rsid w:val="00AF56FB"/>
    <w:rsid w:val="00B07BA0"/>
    <w:rsid w:val="00B13BB4"/>
    <w:rsid w:val="00B14DEF"/>
    <w:rsid w:val="00B44471"/>
    <w:rsid w:val="00B568F4"/>
    <w:rsid w:val="00BA1A1C"/>
    <w:rsid w:val="00BD490B"/>
    <w:rsid w:val="00BE283F"/>
    <w:rsid w:val="00BE7B02"/>
    <w:rsid w:val="00BF62F3"/>
    <w:rsid w:val="00C03F71"/>
    <w:rsid w:val="00C05F49"/>
    <w:rsid w:val="00C20DB0"/>
    <w:rsid w:val="00C20EF1"/>
    <w:rsid w:val="00C33121"/>
    <w:rsid w:val="00C4464B"/>
    <w:rsid w:val="00C44D3A"/>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D0C6C"/>
    <w:rsid w:val="00CD0F06"/>
    <w:rsid w:val="00CD5B3B"/>
    <w:rsid w:val="00CE136E"/>
    <w:rsid w:val="00CE3611"/>
    <w:rsid w:val="00CE7E1F"/>
    <w:rsid w:val="00CF5B2D"/>
    <w:rsid w:val="00D040A5"/>
    <w:rsid w:val="00D06E9C"/>
    <w:rsid w:val="00D21341"/>
    <w:rsid w:val="00D22066"/>
    <w:rsid w:val="00D32F6C"/>
    <w:rsid w:val="00D360E3"/>
    <w:rsid w:val="00D40B3F"/>
    <w:rsid w:val="00D44463"/>
    <w:rsid w:val="00D86F1D"/>
    <w:rsid w:val="00D96A31"/>
    <w:rsid w:val="00D97E7F"/>
    <w:rsid w:val="00DC6096"/>
    <w:rsid w:val="00DE2BAE"/>
    <w:rsid w:val="00DF42F3"/>
    <w:rsid w:val="00E00415"/>
    <w:rsid w:val="00E051A8"/>
    <w:rsid w:val="00E14744"/>
    <w:rsid w:val="00E15D5F"/>
    <w:rsid w:val="00E36727"/>
    <w:rsid w:val="00E562FC"/>
    <w:rsid w:val="00E60B5F"/>
    <w:rsid w:val="00E62270"/>
    <w:rsid w:val="00E63BC4"/>
    <w:rsid w:val="00E67087"/>
    <w:rsid w:val="00E736E2"/>
    <w:rsid w:val="00E858E8"/>
    <w:rsid w:val="00EA0F6C"/>
    <w:rsid w:val="00EA188F"/>
    <w:rsid w:val="00EC12B8"/>
    <w:rsid w:val="00EF528A"/>
    <w:rsid w:val="00F07C3C"/>
    <w:rsid w:val="00F20FDD"/>
    <w:rsid w:val="00F22E55"/>
    <w:rsid w:val="00F22E5F"/>
    <w:rsid w:val="00F41BD8"/>
    <w:rsid w:val="00F50D57"/>
    <w:rsid w:val="00F54EDC"/>
    <w:rsid w:val="00F659E6"/>
    <w:rsid w:val="00F67D20"/>
    <w:rsid w:val="00F77807"/>
    <w:rsid w:val="00F97CDF"/>
    <w:rsid w:val="00FB6D27"/>
    <w:rsid w:val="00FC2E87"/>
    <w:rsid w:val="00FC4284"/>
    <w:rsid w:val="00FD02A0"/>
    <w:rsid w:val="00FD2217"/>
    <w:rsid w:val="00FE0A73"/>
    <w:rsid w:val="00FE2F2C"/>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279C9-3CBC-4506-AC0B-14E16638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444</TotalTime>
  <Pages>1</Pages>
  <Words>189</Words>
  <Characters>1079</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1266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97</cp:revision>
  <cp:lastPrinted>2022-02-15T11:12:00Z</cp:lastPrinted>
  <dcterms:created xsi:type="dcterms:W3CDTF">2019-07-04T09:33:00Z</dcterms:created>
  <dcterms:modified xsi:type="dcterms:W3CDTF">2022-04-13T10:18:00Z</dcterms:modified>
</cp:coreProperties>
</file>