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190" w:rsidRPr="00427038" w:rsidRDefault="00E026D4" w:rsidP="00E026D4">
      <w:pPr>
        <w:spacing w:before="120"/>
        <w:rPr>
          <w:lang w:val="ro-RO"/>
        </w:rPr>
      </w:pPr>
      <w:r>
        <w:rPr>
          <w:lang w:val="ro-RO"/>
        </w:rPr>
        <w:t xml:space="preserve">                                                                          </w:t>
      </w:r>
      <w:r w:rsidR="00DC05D3">
        <w:rPr>
          <w:lang w:val="ro-RO"/>
        </w:rPr>
        <w:t>Nr.</w:t>
      </w:r>
      <w:r w:rsidR="002669B1">
        <w:rPr>
          <w:lang w:val="ro-RO"/>
        </w:rPr>
        <w:t xml:space="preserve">   </w:t>
      </w:r>
      <w:r w:rsidR="00E30486">
        <w:rPr>
          <w:lang w:val="ro-RO"/>
        </w:rPr>
        <w:t>2910</w:t>
      </w:r>
      <w:bookmarkStart w:id="0" w:name="_GoBack"/>
      <w:bookmarkEnd w:id="0"/>
      <w:r w:rsidR="00DC05D3">
        <w:rPr>
          <w:lang w:val="ro-RO"/>
        </w:rPr>
        <w:t>/</w:t>
      </w:r>
      <w:r w:rsidRPr="00E026D4">
        <w:t xml:space="preserve"> </w:t>
      </w:r>
      <w:r w:rsidRPr="00407285">
        <w:t>AJOFM TM</w:t>
      </w:r>
      <w:r>
        <w:rPr>
          <w:lang w:val="ro-RO"/>
        </w:rPr>
        <w:t xml:space="preserve"> </w:t>
      </w:r>
      <w:r w:rsidR="00936FDE">
        <w:rPr>
          <w:lang w:val="ro-RO"/>
        </w:rPr>
        <w:t>/</w:t>
      </w:r>
      <w:r w:rsidR="002669B1">
        <w:rPr>
          <w:lang w:val="ro-RO"/>
        </w:rPr>
        <w:t>05.06</w:t>
      </w:r>
      <w:r w:rsidR="0037471F">
        <w:rPr>
          <w:lang w:val="ro-RO"/>
        </w:rPr>
        <w:t>.2020</w:t>
      </w:r>
    </w:p>
    <w:p w:rsidR="00F44190" w:rsidRPr="00427038" w:rsidRDefault="00F44190" w:rsidP="00F44190">
      <w:pPr>
        <w:ind w:left="981" w:firstLine="720"/>
        <w:rPr>
          <w:lang w:val="ro-RO"/>
        </w:rPr>
      </w:pPr>
    </w:p>
    <w:p w:rsidR="002669B1" w:rsidRPr="002669B1" w:rsidRDefault="002669B1" w:rsidP="002669B1">
      <w:pPr>
        <w:ind w:left="0"/>
        <w:jc w:val="center"/>
        <w:rPr>
          <w:b/>
        </w:rPr>
      </w:pPr>
      <w:r w:rsidRPr="002669B1">
        <w:rPr>
          <w:b/>
        </w:rPr>
        <w:t>Comunicat de presă</w:t>
      </w:r>
    </w:p>
    <w:p w:rsidR="002669B1" w:rsidRPr="002669B1" w:rsidRDefault="002669B1" w:rsidP="002669B1">
      <w:pPr>
        <w:ind w:left="0"/>
        <w:jc w:val="center"/>
        <w:rPr>
          <w:b/>
        </w:rPr>
      </w:pPr>
      <w:r w:rsidRPr="002669B1">
        <w:rPr>
          <w:b/>
        </w:rPr>
        <w:t>Informații ut</w:t>
      </w:r>
      <w:r>
        <w:rPr>
          <w:b/>
        </w:rPr>
        <w:t>ile absolvenților promoției 2020</w:t>
      </w:r>
    </w:p>
    <w:p w:rsidR="002669B1" w:rsidRPr="002669B1" w:rsidRDefault="002669B1" w:rsidP="002669B1">
      <w:pPr>
        <w:tabs>
          <w:tab w:val="left" w:pos="1420"/>
          <w:tab w:val="left" w:pos="6760"/>
        </w:tabs>
        <w:spacing w:after="0"/>
        <w:ind w:left="0"/>
        <w:rPr>
          <w:rFonts w:ascii="Times New Roman" w:eastAsia="Times New Roman" w:hAnsi="Times New Roman"/>
          <w:sz w:val="16"/>
          <w:szCs w:val="16"/>
        </w:rPr>
      </w:pPr>
    </w:p>
    <w:p w:rsidR="002669B1" w:rsidRPr="002669B1" w:rsidRDefault="002669B1" w:rsidP="002669B1">
      <w:pPr>
        <w:tabs>
          <w:tab w:val="left" w:pos="1420"/>
          <w:tab w:val="left" w:pos="6760"/>
        </w:tabs>
        <w:spacing w:after="0"/>
        <w:ind w:left="0"/>
        <w:rPr>
          <w:rFonts w:ascii="Times New Roman" w:eastAsia="Times New Roman" w:hAnsi="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lang w:val="ro-RO"/>
        </w:rPr>
      </w:pPr>
      <w:r w:rsidRPr="002669B1">
        <w:rPr>
          <w:rFonts w:eastAsia="Times New Roman"/>
          <w:sz w:val="24"/>
          <w:szCs w:val="24"/>
        </w:rPr>
        <w:t>Agenţia Judeţeană pentru Ocuparea Forţei de Muncă Timiş ofer</w:t>
      </w:r>
      <w:r w:rsidRPr="002669B1">
        <w:rPr>
          <w:rFonts w:eastAsia="Times New Roman"/>
          <w:sz w:val="24"/>
          <w:szCs w:val="24"/>
          <w:lang w:val="ro-RO"/>
        </w:rPr>
        <w:t xml:space="preserve">ă servicii de specialitate </w:t>
      </w:r>
      <w:r w:rsidRPr="002669B1">
        <w:rPr>
          <w:rFonts w:eastAsia="Times New Roman"/>
          <w:b/>
          <w:sz w:val="24"/>
          <w:szCs w:val="24"/>
          <w:lang w:val="ro-RO"/>
        </w:rPr>
        <w:t>abolvenților</w:t>
      </w:r>
      <w:r w:rsidRPr="002669B1">
        <w:rPr>
          <w:rFonts w:eastAsia="Times New Roman"/>
          <w:b/>
          <w:sz w:val="24"/>
          <w:szCs w:val="24"/>
        </w:rPr>
        <w:t xml:space="preserve"> care se înregistrează în termen de 60 de zile</w:t>
      </w:r>
      <w:r w:rsidRPr="002669B1">
        <w:rPr>
          <w:rFonts w:eastAsia="Times New Roman"/>
          <w:sz w:val="24"/>
          <w:szCs w:val="24"/>
        </w:rPr>
        <w:t xml:space="preserve"> de la absolvire, la agențiile locale pentru ocuparea forței de muncă, din raza de domiciliu, </w:t>
      </w:r>
      <w:r w:rsidRPr="002669B1">
        <w:rPr>
          <w:rFonts w:eastAsia="Times New Roman"/>
          <w:sz w:val="24"/>
          <w:szCs w:val="24"/>
          <w:lang w:val="ro-RO"/>
        </w:rPr>
        <w:t>în vederea medierii pentru încadrarea în muncă.</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b/>
          <w:sz w:val="24"/>
          <w:szCs w:val="24"/>
        </w:rPr>
        <w:t>Absolvenții de liceu promoția 20</w:t>
      </w:r>
      <w:r w:rsidR="00370CDC">
        <w:rPr>
          <w:rFonts w:eastAsia="Times New Roman"/>
          <w:b/>
          <w:sz w:val="24"/>
          <w:szCs w:val="24"/>
        </w:rPr>
        <w:t>20</w:t>
      </w:r>
      <w:r w:rsidRPr="002669B1">
        <w:rPr>
          <w:rFonts w:eastAsia="Times New Roman"/>
          <w:sz w:val="24"/>
          <w:szCs w:val="24"/>
        </w:rPr>
        <w:t xml:space="preserve"> se pot prezenta pentru </w:t>
      </w:r>
      <w:r w:rsidRPr="002669B1">
        <w:rPr>
          <w:rFonts w:eastAsia="Times New Roman"/>
          <w:b/>
          <w:sz w:val="24"/>
          <w:szCs w:val="24"/>
        </w:rPr>
        <w:t>înregistrarea ca persoană aflată în căutarea unui loc de muncă, ca etapă prealabilă și obligatorie</w:t>
      </w:r>
      <w:r w:rsidRPr="002669B1">
        <w:rPr>
          <w:rFonts w:eastAsia="Times New Roman"/>
          <w:sz w:val="24"/>
          <w:szCs w:val="24"/>
        </w:rPr>
        <w:t xml:space="preserve"> pentru obținerea indemnizației de șomaj, în intervalul </w:t>
      </w:r>
      <w:r w:rsidRPr="002669B1">
        <w:rPr>
          <w:rFonts w:eastAsia="Times New Roman"/>
          <w:b/>
          <w:sz w:val="24"/>
          <w:szCs w:val="24"/>
        </w:rPr>
        <w:t>2</w:t>
      </w:r>
      <w:r w:rsidR="00370CDC">
        <w:rPr>
          <w:rFonts w:eastAsia="Times New Roman"/>
          <w:b/>
          <w:sz w:val="24"/>
          <w:szCs w:val="24"/>
        </w:rPr>
        <w:t>9</w:t>
      </w:r>
      <w:r w:rsidRPr="002669B1">
        <w:rPr>
          <w:rFonts w:eastAsia="Times New Roman"/>
          <w:b/>
          <w:sz w:val="24"/>
          <w:szCs w:val="24"/>
        </w:rPr>
        <w:t xml:space="preserve"> mai 20</w:t>
      </w:r>
      <w:r w:rsidR="00370CDC">
        <w:rPr>
          <w:rFonts w:eastAsia="Times New Roman"/>
          <w:b/>
          <w:sz w:val="24"/>
          <w:szCs w:val="24"/>
        </w:rPr>
        <w:t>20</w:t>
      </w:r>
      <w:r w:rsidRPr="002669B1">
        <w:rPr>
          <w:rFonts w:eastAsia="Times New Roman"/>
          <w:b/>
          <w:sz w:val="24"/>
          <w:szCs w:val="24"/>
        </w:rPr>
        <w:t xml:space="preserve"> – 2</w:t>
      </w:r>
      <w:r w:rsidR="00370CDC">
        <w:rPr>
          <w:rFonts w:eastAsia="Times New Roman"/>
          <w:b/>
          <w:sz w:val="24"/>
          <w:szCs w:val="24"/>
        </w:rPr>
        <w:t>8</w:t>
      </w:r>
      <w:r w:rsidRPr="002669B1">
        <w:rPr>
          <w:rFonts w:eastAsia="Times New Roman"/>
          <w:b/>
          <w:sz w:val="24"/>
          <w:szCs w:val="24"/>
        </w:rPr>
        <w:t xml:space="preserve"> iulie 20</w:t>
      </w:r>
      <w:r w:rsidR="00370CDC">
        <w:rPr>
          <w:rFonts w:eastAsia="Times New Roman"/>
          <w:b/>
          <w:sz w:val="24"/>
          <w:szCs w:val="24"/>
        </w:rPr>
        <w:t>20</w:t>
      </w:r>
      <w:r w:rsidRPr="002669B1">
        <w:rPr>
          <w:rFonts w:eastAsia="Times New Roman"/>
          <w:sz w:val="24"/>
          <w:szCs w:val="24"/>
        </w:rPr>
        <w:t>.</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b/>
          <w:sz w:val="24"/>
          <w:szCs w:val="24"/>
        </w:rPr>
      </w:pPr>
      <w:r w:rsidRPr="002669B1">
        <w:rPr>
          <w:rFonts w:eastAsia="Times New Roman"/>
          <w:sz w:val="24"/>
          <w:szCs w:val="24"/>
        </w:rPr>
        <w:t xml:space="preserve">Potrivit prevederilor legale, absolvenții trebuie să se prezinte la agențiile locale pentru ocuparea forței de muncă în termen de 60 de zile de la absolvire. În cazul absolvenţilor de liceu, </w:t>
      </w:r>
      <w:r w:rsidRPr="002669B1">
        <w:rPr>
          <w:rFonts w:eastAsia="Times New Roman"/>
          <w:b/>
          <w:sz w:val="24"/>
          <w:szCs w:val="24"/>
        </w:rPr>
        <w:t>indiferent de promovarea sau nepromovarea examenului de bacalaureat</w:t>
      </w:r>
      <w:r w:rsidRPr="002669B1">
        <w:rPr>
          <w:rFonts w:eastAsia="Times New Roman"/>
          <w:sz w:val="24"/>
          <w:szCs w:val="24"/>
        </w:rPr>
        <w:t xml:space="preserve">, </w:t>
      </w:r>
      <w:r w:rsidRPr="002669B1">
        <w:rPr>
          <w:rFonts w:eastAsia="Times New Roman"/>
          <w:b/>
          <w:sz w:val="24"/>
          <w:szCs w:val="24"/>
        </w:rPr>
        <w:t>termenul de</w:t>
      </w:r>
      <w:r w:rsidRPr="002669B1">
        <w:rPr>
          <w:rFonts w:eastAsia="Times New Roman"/>
          <w:sz w:val="24"/>
          <w:szCs w:val="24"/>
        </w:rPr>
        <w:t xml:space="preserve"> </w:t>
      </w:r>
      <w:r w:rsidRPr="002669B1">
        <w:rPr>
          <w:rFonts w:eastAsia="Times New Roman"/>
          <w:b/>
          <w:sz w:val="24"/>
          <w:szCs w:val="24"/>
        </w:rPr>
        <w:t xml:space="preserve">60 de zile începe pe </w:t>
      </w:r>
      <w:r w:rsidR="00370CDC">
        <w:rPr>
          <w:rFonts w:eastAsia="Times New Roman"/>
          <w:b/>
          <w:sz w:val="24"/>
          <w:szCs w:val="24"/>
        </w:rPr>
        <w:t>29</w:t>
      </w:r>
      <w:r w:rsidRPr="002669B1">
        <w:rPr>
          <w:rFonts w:eastAsia="Times New Roman"/>
          <w:b/>
          <w:sz w:val="24"/>
          <w:szCs w:val="24"/>
        </w:rPr>
        <w:t xml:space="preserve"> mai 20</w:t>
      </w:r>
      <w:r w:rsidR="00370CDC">
        <w:rPr>
          <w:rFonts w:eastAsia="Times New Roman"/>
          <w:b/>
          <w:sz w:val="24"/>
          <w:szCs w:val="24"/>
        </w:rPr>
        <w:t>20</w:t>
      </w:r>
      <w:r w:rsidRPr="002669B1">
        <w:rPr>
          <w:rFonts w:eastAsia="Times New Roman"/>
          <w:sz w:val="24"/>
          <w:szCs w:val="24"/>
        </w:rPr>
        <w:t xml:space="preserve">, având în vedere că, potrivit Ordinului nr </w:t>
      </w:r>
      <w:r w:rsidR="00370CDC">
        <w:rPr>
          <w:rFonts w:eastAsia="Times New Roman"/>
          <w:sz w:val="24"/>
          <w:szCs w:val="24"/>
        </w:rPr>
        <w:t>3191</w:t>
      </w:r>
      <w:r w:rsidRPr="002669B1">
        <w:rPr>
          <w:rFonts w:eastAsia="Times New Roman"/>
          <w:sz w:val="24"/>
          <w:szCs w:val="24"/>
        </w:rPr>
        <w:t>/2</w:t>
      </w:r>
      <w:r w:rsidR="00370CDC">
        <w:rPr>
          <w:rFonts w:eastAsia="Times New Roman"/>
          <w:sz w:val="24"/>
          <w:szCs w:val="24"/>
        </w:rPr>
        <w:t>0</w:t>
      </w:r>
      <w:r w:rsidRPr="002669B1">
        <w:rPr>
          <w:rFonts w:eastAsia="Times New Roman"/>
          <w:sz w:val="24"/>
          <w:szCs w:val="24"/>
        </w:rPr>
        <w:t>.02.201</w:t>
      </w:r>
      <w:r w:rsidR="00370CDC">
        <w:rPr>
          <w:rFonts w:eastAsia="Times New Roman"/>
          <w:sz w:val="24"/>
          <w:szCs w:val="24"/>
        </w:rPr>
        <w:t>9</w:t>
      </w:r>
      <w:r w:rsidRPr="002669B1">
        <w:rPr>
          <w:rFonts w:eastAsia="Times New Roman"/>
          <w:sz w:val="24"/>
          <w:szCs w:val="24"/>
        </w:rPr>
        <w:t xml:space="preserve"> al Ministrului Educaţiei şi Cercetării Ştiinţifice, </w:t>
      </w:r>
      <w:r w:rsidRPr="002669B1">
        <w:rPr>
          <w:rFonts w:eastAsia="Times New Roman"/>
          <w:b/>
          <w:sz w:val="24"/>
          <w:szCs w:val="24"/>
        </w:rPr>
        <w:t>"Cursurile claselor terminale din învăţământul liceal se încheie în data de 2</w:t>
      </w:r>
      <w:r w:rsidR="00370CDC">
        <w:rPr>
          <w:rFonts w:eastAsia="Times New Roman"/>
          <w:b/>
          <w:sz w:val="24"/>
          <w:szCs w:val="24"/>
        </w:rPr>
        <w:t>9 mai 2020</w:t>
      </w:r>
      <w:r w:rsidRPr="002669B1">
        <w:rPr>
          <w:rFonts w:eastAsia="Times New Roman"/>
          <w:b/>
          <w:sz w:val="24"/>
          <w:szCs w:val="24"/>
        </w:rPr>
        <w:t>".</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 xml:space="preserve">Dacă absolvenţii nu se prezintă în intervalul de 60 de zile de la absolvire </w:t>
      </w:r>
      <w:r w:rsidRPr="002669B1">
        <w:rPr>
          <w:rFonts w:eastAsia="Times New Roman"/>
          <w:b/>
          <w:sz w:val="24"/>
          <w:szCs w:val="24"/>
        </w:rPr>
        <w:t>(2</w:t>
      </w:r>
      <w:r w:rsidR="00370CDC">
        <w:rPr>
          <w:rFonts w:eastAsia="Times New Roman"/>
          <w:b/>
          <w:sz w:val="24"/>
          <w:szCs w:val="24"/>
        </w:rPr>
        <w:t>9</w:t>
      </w:r>
      <w:r w:rsidR="00B10A34">
        <w:rPr>
          <w:rFonts w:eastAsia="Times New Roman"/>
          <w:b/>
          <w:sz w:val="24"/>
          <w:szCs w:val="24"/>
        </w:rPr>
        <w:t xml:space="preserve"> mai–</w:t>
      </w:r>
      <w:r w:rsidRPr="002669B1">
        <w:rPr>
          <w:rFonts w:eastAsia="Times New Roman"/>
          <w:b/>
          <w:sz w:val="24"/>
          <w:szCs w:val="24"/>
        </w:rPr>
        <w:t>2</w:t>
      </w:r>
      <w:r w:rsidR="00370CDC">
        <w:rPr>
          <w:rFonts w:eastAsia="Times New Roman"/>
          <w:b/>
          <w:sz w:val="24"/>
          <w:szCs w:val="24"/>
        </w:rPr>
        <w:t>8</w:t>
      </w:r>
      <w:r w:rsidRPr="002669B1">
        <w:rPr>
          <w:rFonts w:eastAsia="Times New Roman"/>
          <w:b/>
          <w:sz w:val="24"/>
          <w:szCs w:val="24"/>
        </w:rPr>
        <w:t xml:space="preserve"> iulie 20</w:t>
      </w:r>
      <w:r w:rsidR="00B10A34">
        <w:rPr>
          <w:rFonts w:eastAsia="Times New Roman"/>
          <w:b/>
          <w:sz w:val="24"/>
          <w:szCs w:val="24"/>
        </w:rPr>
        <w:t>20</w:t>
      </w:r>
      <w:r w:rsidRPr="002669B1">
        <w:rPr>
          <w:rFonts w:eastAsia="Times New Roman"/>
          <w:b/>
          <w:sz w:val="24"/>
          <w:szCs w:val="24"/>
        </w:rPr>
        <w:t>)</w:t>
      </w:r>
      <w:r w:rsidRPr="002669B1">
        <w:rPr>
          <w:rFonts w:eastAsia="Times New Roman"/>
          <w:sz w:val="24"/>
          <w:szCs w:val="24"/>
        </w:rPr>
        <w:t>, ei au dreptul să se prezinte în continuare să se înregistreze ca persoane în căutarea unui loc de muncă, dar nu vor avea dreptul la indemnizaţie de şomaj, beneficiind de servicii de informare și consiliere profesională, mediere, formare profesională, etc.</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Precizăm că aceste prevederi pentru absolvenţii de liceu sunt în concordanţă cu obligaţia instituţiilor de învăţământ de a elibera certificate de studii în termen de 15 zile de la data absolvirii (finalizării studiilor), ori până la acea dată rezultatele examenului de bacalaureat încă nu sunt cunoscute.</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În cazul absolvenţilor de studii superioare, termenul de 60 de zile în interiorul căruia trebuie să se înregistreze la agenţiile de ocupare curge de la finalizarea studiilor anului terminal sau de la data promovării examenului de licenţă (dacă persoana promovează examenul de licenţă în termen de 12 luni de la finalizarea studiilor).</w:t>
      </w:r>
    </w:p>
    <w:p w:rsidR="002669B1" w:rsidRPr="002669B1" w:rsidRDefault="002669B1" w:rsidP="002669B1">
      <w:pPr>
        <w:tabs>
          <w:tab w:val="left" w:pos="1420"/>
          <w:tab w:val="left" w:pos="6760"/>
        </w:tabs>
        <w:spacing w:after="0"/>
        <w:ind w:left="0"/>
        <w:rPr>
          <w:rFonts w:eastAsia="Times New Roman"/>
          <w:sz w:val="16"/>
          <w:szCs w:val="16"/>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 xml:space="preserve">Având în vedere că nimeni nu are siguranţa promovării examenului de licenţă, sugerăm tuturor absolvenţilor de studii superioare cu domiciliul în judeţul Timiș să solicite adeverinţa de </w:t>
      </w:r>
      <w:r w:rsidRPr="002669B1">
        <w:rPr>
          <w:rFonts w:eastAsia="Times New Roman"/>
          <w:sz w:val="24"/>
          <w:szCs w:val="24"/>
        </w:rPr>
        <w:lastRenderedPageBreak/>
        <w:t>absolvire (chiar şi fără examenul de licenţă) imediat ce au finalizat cursurile şi să se înregistreze la sediul agenţiilor de ocupare cele mai apropiate (Timisoara, Lugoj, Sannicolau Mare, Deta, Jimbolia, Faget, Buzias) în interval de 60 de zile de la finalizarea cursurilor.</w:t>
      </w:r>
    </w:p>
    <w:p w:rsidR="002669B1" w:rsidRPr="002669B1" w:rsidRDefault="002669B1" w:rsidP="002669B1">
      <w:pPr>
        <w:tabs>
          <w:tab w:val="left" w:pos="1420"/>
          <w:tab w:val="left" w:pos="6760"/>
        </w:tabs>
        <w:spacing w:after="0"/>
        <w:ind w:left="0"/>
        <w:rPr>
          <w:rFonts w:eastAsia="Times New Roman"/>
          <w:sz w:val="16"/>
          <w:szCs w:val="16"/>
        </w:rPr>
      </w:pPr>
      <w:r w:rsidRPr="002669B1">
        <w:rPr>
          <w:rFonts w:eastAsia="Times New Roman"/>
          <w:sz w:val="24"/>
          <w:szCs w:val="24"/>
        </w:rPr>
        <w:tab/>
      </w: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b/>
          <w:sz w:val="24"/>
          <w:szCs w:val="24"/>
        </w:rPr>
        <w:t>Atenţie!!!</w:t>
      </w:r>
      <w:r w:rsidRPr="002669B1">
        <w:rPr>
          <w:rFonts w:eastAsia="Times New Roman"/>
          <w:sz w:val="24"/>
          <w:szCs w:val="24"/>
        </w:rPr>
        <w:t xml:space="preserve"> - Dacă examenul de licenţă nu este promovat în termen de 12 luni, iar absolventul nu </w:t>
      </w:r>
      <w:r w:rsidRPr="002669B1">
        <w:rPr>
          <w:rFonts w:eastAsia="Times New Roman"/>
          <w:b/>
          <w:sz w:val="24"/>
          <w:szCs w:val="24"/>
        </w:rPr>
        <w:t>s-a înregistrat în termen de 60 de zile</w:t>
      </w:r>
      <w:r w:rsidRPr="002669B1">
        <w:rPr>
          <w:rFonts w:eastAsia="Times New Roman"/>
          <w:sz w:val="24"/>
          <w:szCs w:val="24"/>
        </w:rPr>
        <w:t xml:space="preserve"> de la finalizarea studiilor, atunci persoana în cauză </w:t>
      </w:r>
      <w:r w:rsidRPr="002669B1">
        <w:rPr>
          <w:rFonts w:eastAsia="Times New Roman"/>
          <w:b/>
          <w:sz w:val="24"/>
          <w:szCs w:val="24"/>
        </w:rPr>
        <w:t>nu va mai avea dreptul la indemnizaţie de şomaj</w:t>
      </w:r>
      <w:r w:rsidRPr="002669B1">
        <w:rPr>
          <w:rFonts w:eastAsia="Times New Roman"/>
          <w:sz w:val="24"/>
          <w:szCs w:val="24"/>
        </w:rPr>
        <w:t>, dar în schimb va putea să beneficieze de serviciile de stimulare a ocupării forţei de muncă şi de formare profesională gratuite dacă se înregistrează în evidenţă A.J.O.F.M. Timiș.</w:t>
      </w:r>
    </w:p>
    <w:p w:rsidR="002669B1" w:rsidRPr="002669B1" w:rsidRDefault="002669B1" w:rsidP="002669B1">
      <w:pPr>
        <w:tabs>
          <w:tab w:val="left" w:pos="1420"/>
          <w:tab w:val="left" w:pos="6760"/>
        </w:tabs>
        <w:spacing w:after="0"/>
        <w:ind w:left="0"/>
        <w:rPr>
          <w:sz w:val="24"/>
          <w:szCs w:val="24"/>
        </w:rPr>
      </w:pPr>
    </w:p>
    <w:p w:rsidR="002669B1" w:rsidRPr="002669B1" w:rsidRDefault="002669B1" w:rsidP="002669B1">
      <w:pPr>
        <w:tabs>
          <w:tab w:val="left" w:pos="1420"/>
          <w:tab w:val="left" w:pos="6760"/>
        </w:tabs>
        <w:spacing w:after="0"/>
        <w:ind w:left="0"/>
        <w:rPr>
          <w:rFonts w:eastAsia="Times New Roman"/>
          <w:sz w:val="24"/>
          <w:szCs w:val="24"/>
        </w:rPr>
      </w:pPr>
      <w:r w:rsidRPr="002669B1">
        <w:rPr>
          <w:sz w:val="24"/>
          <w:szCs w:val="24"/>
        </w:rPr>
        <w:t xml:space="preserve">Absolvenții instituțiilor de învățământ și absolvenții școlilor speciale, în vârstă de minimum 16 ani, care în termen de 60 de zile de la absolvire se înregistrează la agențiile pentru ocuparea forței de muncă și in acest termen se angajează cu normă întreagă pentru o perioadă mai mare de 12 luni, beneficiază de o </w:t>
      </w:r>
      <w:r w:rsidRPr="002669B1">
        <w:rPr>
          <w:b/>
          <w:bCs/>
          <w:sz w:val="24"/>
          <w:szCs w:val="24"/>
        </w:rPr>
        <w:t xml:space="preserve">primă de inserție </w:t>
      </w:r>
      <w:r w:rsidRPr="002669B1">
        <w:rPr>
          <w:sz w:val="24"/>
          <w:szCs w:val="24"/>
        </w:rPr>
        <w:t>egală cu de 3 ori valoarea indicatorului social de referință în vigoare la data încadrării (</w:t>
      </w:r>
      <w:r w:rsidR="00611CA9">
        <w:rPr>
          <w:sz w:val="24"/>
          <w:szCs w:val="24"/>
        </w:rPr>
        <w:t>3x500 = 1500l</w:t>
      </w:r>
      <w:r w:rsidRPr="002669B1">
        <w:rPr>
          <w:sz w:val="24"/>
          <w:szCs w:val="24"/>
        </w:rPr>
        <w:t>ei). Plata se efectuează în doua tranșe: prima după incadrare și a doua dupa cele 12 luni</w:t>
      </w:r>
      <w:r w:rsidRPr="002669B1">
        <w:t>.</w:t>
      </w:r>
    </w:p>
    <w:p w:rsidR="002669B1" w:rsidRPr="002669B1" w:rsidRDefault="002669B1" w:rsidP="002669B1">
      <w:pPr>
        <w:tabs>
          <w:tab w:val="left" w:pos="1420"/>
          <w:tab w:val="left" w:pos="6760"/>
        </w:tabs>
        <w:spacing w:after="0"/>
        <w:ind w:left="0"/>
        <w:rPr>
          <w:rFonts w:eastAsia="Times New Roman"/>
          <w:b/>
          <w:sz w:val="16"/>
          <w:szCs w:val="16"/>
        </w:rPr>
      </w:pPr>
    </w:p>
    <w:p w:rsidR="002669B1" w:rsidRPr="002669B1" w:rsidRDefault="002669B1" w:rsidP="002669B1">
      <w:pPr>
        <w:tabs>
          <w:tab w:val="left" w:pos="1420"/>
          <w:tab w:val="left" w:pos="6760"/>
        </w:tabs>
        <w:spacing w:after="0"/>
        <w:ind w:left="0"/>
        <w:rPr>
          <w:rFonts w:eastAsia="Times New Roman"/>
          <w:sz w:val="24"/>
          <w:szCs w:val="24"/>
        </w:rPr>
      </w:pPr>
    </w:p>
    <w:p w:rsidR="002669B1" w:rsidRPr="002669B1" w:rsidRDefault="002669B1" w:rsidP="002669B1">
      <w:pPr>
        <w:tabs>
          <w:tab w:val="left" w:pos="1420"/>
          <w:tab w:val="left" w:pos="6760"/>
        </w:tabs>
        <w:spacing w:after="0"/>
        <w:ind w:left="0"/>
        <w:rPr>
          <w:rFonts w:eastAsia="Times New Roman"/>
          <w:sz w:val="24"/>
          <w:szCs w:val="24"/>
        </w:rPr>
      </w:pPr>
      <w:r w:rsidRPr="002669B1">
        <w:rPr>
          <w:rFonts w:eastAsia="Times New Roman"/>
          <w:sz w:val="24"/>
          <w:szCs w:val="24"/>
        </w:rPr>
        <w:t>Vă mulțumim pentru colaborare.</w:t>
      </w:r>
    </w:p>
    <w:p w:rsidR="002669B1" w:rsidRPr="002669B1" w:rsidRDefault="002669B1" w:rsidP="002669B1">
      <w:pPr>
        <w:tabs>
          <w:tab w:val="left" w:pos="1420"/>
          <w:tab w:val="left" w:pos="6760"/>
        </w:tabs>
        <w:spacing w:after="0"/>
        <w:ind w:left="0"/>
        <w:rPr>
          <w:rFonts w:eastAsia="Times New Roman"/>
          <w:sz w:val="24"/>
          <w:szCs w:val="24"/>
        </w:rPr>
      </w:pPr>
    </w:p>
    <w:p w:rsidR="002669B1" w:rsidRPr="002669B1" w:rsidRDefault="002669B1" w:rsidP="002669B1">
      <w:pPr>
        <w:tabs>
          <w:tab w:val="left" w:pos="1420"/>
          <w:tab w:val="left" w:pos="6760"/>
        </w:tabs>
        <w:spacing w:after="0"/>
        <w:ind w:left="0"/>
        <w:rPr>
          <w:lang w:val="ro-RO"/>
        </w:rPr>
      </w:pPr>
      <w:r w:rsidRPr="002669B1">
        <w:rPr>
          <w:rFonts w:eastAsia="Times New Roman"/>
          <w:sz w:val="24"/>
          <w:szCs w:val="24"/>
        </w:rPr>
        <w:t>Compartiment Comunicare</w:t>
      </w:r>
      <w:r w:rsidRPr="002669B1">
        <w:rPr>
          <w:rFonts w:ascii="Times New Roman" w:eastAsia="Times New Roman" w:hAnsi="Times New Roman"/>
          <w:sz w:val="24"/>
          <w:szCs w:val="24"/>
        </w:rPr>
        <w:tab/>
      </w:r>
    </w:p>
    <w:p w:rsidR="002669B1" w:rsidRPr="002669B1" w:rsidRDefault="002669B1" w:rsidP="002669B1">
      <w:pPr>
        <w:ind w:left="0"/>
        <w:jc w:val="left"/>
      </w:pPr>
    </w:p>
    <w:p w:rsidR="000946D6" w:rsidRDefault="000946D6" w:rsidP="000946D6">
      <w:pPr>
        <w:ind w:left="1134"/>
        <w:jc w:val="left"/>
        <w:rPr>
          <w:lang w:val="ro-RO"/>
        </w:rPr>
      </w:pPr>
    </w:p>
    <w:p w:rsidR="00FA264C" w:rsidRPr="00FA264C" w:rsidRDefault="00FA264C" w:rsidP="00FA264C">
      <w:pPr>
        <w:ind w:left="1134"/>
        <w:jc w:val="left"/>
        <w:rPr>
          <w:lang w:val="ro-RO"/>
        </w:rPr>
      </w:pPr>
      <w:r w:rsidRPr="00FA264C">
        <w:rPr>
          <w:lang w:val="ro-RO"/>
        </w:rPr>
        <w:t>Director executiv,</w:t>
      </w:r>
    </w:p>
    <w:p w:rsidR="00CF3A2B" w:rsidRDefault="00D25AE1" w:rsidP="00FA264C">
      <w:pPr>
        <w:ind w:left="1134"/>
        <w:jc w:val="left"/>
        <w:rPr>
          <w:lang w:val="ro-RO"/>
        </w:rPr>
      </w:pPr>
      <w:r>
        <w:rPr>
          <w:lang w:val="ro-RO"/>
        </w:rPr>
        <w:t>Marcel-Dumitru MICLĂU</w:t>
      </w:r>
    </w:p>
    <w:p w:rsidR="000946D6" w:rsidRDefault="000946D6" w:rsidP="00114549">
      <w:pPr>
        <w:ind w:left="1134"/>
        <w:jc w:val="left"/>
        <w:rPr>
          <w:lang w:val="ro-RO"/>
        </w:rPr>
      </w:pPr>
    </w:p>
    <w:p w:rsidR="00097001" w:rsidRDefault="00097001" w:rsidP="00097001">
      <w:pPr>
        <w:ind w:left="1134"/>
        <w:jc w:val="left"/>
        <w:rPr>
          <w:b/>
          <w:lang w:val="ro-RO"/>
        </w:rPr>
      </w:pPr>
    </w:p>
    <w:p w:rsidR="002669B1" w:rsidRPr="005B48F8" w:rsidRDefault="002669B1" w:rsidP="00097001">
      <w:pPr>
        <w:ind w:left="1134"/>
        <w:jc w:val="left"/>
        <w:rPr>
          <w:b/>
          <w:lang w:val="ro-RO"/>
        </w:rPr>
      </w:pPr>
    </w:p>
    <w:p w:rsidR="00114549" w:rsidRDefault="00114549" w:rsidP="00114549">
      <w:pPr>
        <w:ind w:left="0"/>
      </w:pPr>
    </w:p>
    <w:p w:rsidR="00B3143E" w:rsidRDefault="00B3143E" w:rsidP="00114549">
      <w:pPr>
        <w:ind w:left="0"/>
      </w:pPr>
    </w:p>
    <w:p w:rsidR="00B3143E" w:rsidRDefault="00B3143E" w:rsidP="00114549">
      <w:pPr>
        <w:ind w:left="0"/>
      </w:pPr>
    </w:p>
    <w:p w:rsidR="00CF3A2B" w:rsidRDefault="00CF3A2B" w:rsidP="00114549">
      <w:pPr>
        <w:ind w:left="0"/>
      </w:pPr>
    </w:p>
    <w:p w:rsidR="000946D6" w:rsidRDefault="000946D6" w:rsidP="00114549">
      <w:pPr>
        <w:ind w:left="0"/>
      </w:pPr>
    </w:p>
    <w:p w:rsidR="00114549" w:rsidRPr="002A367B" w:rsidRDefault="00114549" w:rsidP="00114549">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114549" w:rsidRPr="00F44190" w:rsidRDefault="00114549" w:rsidP="00114549">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p>
    <w:sectPr w:rsidR="00114549" w:rsidRPr="00F44190" w:rsidSect="00F44190">
      <w:headerReference w:type="default" r:id="rId9"/>
      <w:footerReference w:type="default" r:id="rId10"/>
      <w:headerReference w:type="first" r:id="rId11"/>
      <w:footerReference w:type="first" r:id="rId12"/>
      <w:pgSz w:w="11900" w:h="16840"/>
      <w:pgMar w:top="1674" w:right="560" w:bottom="1702" w:left="810"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8F" w:rsidRDefault="00F75A8F" w:rsidP="00CD5B3B">
      <w:r>
        <w:separator/>
      </w:r>
    </w:p>
  </w:endnote>
  <w:endnote w:type="continuationSeparator" w:id="0">
    <w:p w:rsidR="00F75A8F" w:rsidRDefault="00F75A8F" w:rsidP="00CD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190" w:rsidRDefault="00702E2A" w:rsidP="00F44190">
    <w:pPr>
      <w:pStyle w:val="Footer"/>
      <w:spacing w:after="0" w:line="240" w:lineRule="auto"/>
      <w:ind w:left="1440" w:hanging="90"/>
      <w:rPr>
        <w:sz w:val="14"/>
        <w:szCs w:val="14"/>
        <w:lang w:val="ro-RO"/>
      </w:rPr>
    </w:pPr>
    <w:r>
      <w:rPr>
        <w:noProof/>
      </w:rPr>
      <mc:AlternateContent>
        <mc:Choice Requires="wps">
          <w:drawing>
            <wp:anchor distT="0" distB="0" distL="114300" distR="114300" simplePos="0" relativeHeight="251661312" behindDoc="0" locked="0" layoutInCell="1" allowOverlap="1" wp14:anchorId="3809C7DD" wp14:editId="6A45387B">
              <wp:simplePos x="0" y="0"/>
              <wp:positionH relativeFrom="column">
                <wp:posOffset>809625</wp:posOffset>
              </wp:positionH>
              <wp:positionV relativeFrom="paragraph">
                <wp:posOffset>76835</wp:posOffset>
              </wp:positionV>
              <wp:extent cx="5814060" cy="635"/>
              <wp:effectExtent l="0" t="0" r="15240" b="3746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4060"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63.75pt;margin-top:6.05pt;width:457.8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mc:Fallback>
      </mc:AlternateContent>
    </w:r>
  </w:p>
  <w:p w:rsidR="00F44190" w:rsidRDefault="00F44190" w:rsidP="00F44190">
    <w:pPr>
      <w:pStyle w:val="Footer"/>
      <w:spacing w:after="0" w:line="240" w:lineRule="auto"/>
      <w:ind w:left="1440" w:hanging="90"/>
      <w:rPr>
        <w:sz w:val="14"/>
        <w:szCs w:val="14"/>
        <w:lang w:val="ro-RO"/>
      </w:rPr>
    </w:pP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 xml:space="preserve">AGENŢIA JUDEŢEANĂ PENTRU OCUPAREA FORŢEI DE MUNCĂ TIMIŞ                                                                                  </w:t>
    </w:r>
    <w:r>
      <w:rPr>
        <w:sz w:val="14"/>
        <w:szCs w:val="14"/>
        <w:lang w:val="ro-RO"/>
      </w:rPr>
      <w:t xml:space="preserve">                        pagina 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097001" w:rsidP="00097001">
    <w:pPr>
      <w:tabs>
        <w:tab w:val="center" w:pos="4320"/>
        <w:tab w:val="right" w:pos="8640"/>
      </w:tabs>
      <w:spacing w:after="0" w:line="240" w:lineRule="auto"/>
      <w:ind w:left="0"/>
    </w:pPr>
    <w:r w:rsidRPr="00097001">
      <w:rPr>
        <w:sz w:val="14"/>
        <w:szCs w:val="14"/>
        <w:lang w:val="ro-RO"/>
      </w:rPr>
      <w:t xml:space="preserve">                     www.timis.anofm.ro</w:t>
    </w:r>
  </w:p>
  <w:p w:rsidR="002C59E9" w:rsidRPr="00BE7B02" w:rsidRDefault="002C59E9" w:rsidP="00097001">
    <w:pPr>
      <w:pStyle w:val="Footer"/>
      <w:spacing w:after="0" w:line="240" w:lineRule="auto"/>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E2A" w:rsidRPr="00702E2A" w:rsidRDefault="00702E2A" w:rsidP="00702E2A">
    <w:pPr>
      <w:pStyle w:val="Footer"/>
      <w:spacing w:after="0" w:line="240" w:lineRule="auto"/>
      <w:ind w:left="1699"/>
      <w:rPr>
        <w:sz w:val="14"/>
        <w:szCs w:val="14"/>
      </w:rPr>
    </w:pPr>
  </w:p>
  <w:p w:rsidR="00097001" w:rsidRPr="00097001" w:rsidRDefault="00097001" w:rsidP="00097001">
    <w:pPr>
      <w:tabs>
        <w:tab w:val="left" w:pos="2790"/>
        <w:tab w:val="right" w:pos="8640"/>
      </w:tabs>
      <w:spacing w:after="0" w:line="240" w:lineRule="auto"/>
      <w:ind w:left="-1710" w:firstLine="2610"/>
      <w:rPr>
        <w:sz w:val="16"/>
        <w:szCs w:val="14"/>
        <w:lang w:val="ro-RO"/>
      </w:rPr>
    </w:pPr>
    <w:r w:rsidRPr="00097001">
      <w:rPr>
        <w:sz w:val="14"/>
        <w:szCs w:val="14"/>
        <w:lang w:val="ro-RO"/>
      </w:rPr>
      <w:t>AGENŢIA JUDEŢEANĂ PENTRU OCUPAREA FORŢEI DE MUNCĂ TIMIŞ                                                                                                          pagina 1</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w:t>
    </w:r>
    <w:r>
      <w:rPr>
        <w:sz w:val="14"/>
        <w:szCs w:val="14"/>
        <w:lang w:val="ro-RO"/>
      </w:rPr>
      <w:t xml:space="preserve">                   </w:t>
    </w:r>
    <w:r w:rsidRPr="00097001">
      <w:rPr>
        <w:sz w:val="14"/>
        <w:szCs w:val="14"/>
        <w:lang w:val="ro-RO"/>
      </w:rPr>
      <w:t>Operator de date cu caracter personal nr. 502</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B-dul republicii, nr. 21, Timişoara</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Tel.: +4 256 294 231; Fax: +4 02256 294 234</w:t>
    </w:r>
  </w:p>
  <w:p w:rsidR="00097001" w:rsidRPr="00097001" w:rsidRDefault="00097001" w:rsidP="00097001">
    <w:pPr>
      <w:tabs>
        <w:tab w:val="left" w:pos="2790"/>
        <w:tab w:val="right" w:pos="8640"/>
      </w:tabs>
      <w:spacing w:after="0" w:line="240" w:lineRule="auto"/>
      <w:ind w:left="0"/>
      <w:rPr>
        <w:sz w:val="14"/>
        <w:szCs w:val="14"/>
        <w:lang w:val="ro-RO"/>
      </w:rPr>
    </w:pPr>
    <w:r w:rsidRPr="00097001">
      <w:rPr>
        <w:sz w:val="14"/>
        <w:szCs w:val="14"/>
        <w:lang w:val="ro-RO"/>
      </w:rPr>
      <w:t xml:space="preserve">                     e-mail: </w:t>
    </w:r>
    <w:hyperlink r:id="rId1" w:history="1">
      <w:r w:rsidRPr="00097001">
        <w:rPr>
          <w:color w:val="0000FF"/>
          <w:sz w:val="14"/>
          <w:szCs w:val="14"/>
          <w:u w:val="single"/>
          <w:lang w:val="ro-RO"/>
        </w:rPr>
        <w:t>ajofm@tm.anofm.ro</w:t>
      </w:r>
    </w:hyperlink>
    <w:r w:rsidRPr="00097001">
      <w:rPr>
        <w:sz w:val="14"/>
        <w:szCs w:val="14"/>
        <w:lang w:val="ro-RO"/>
      </w:rPr>
      <w:t xml:space="preserve">; </w:t>
    </w:r>
  </w:p>
  <w:p w:rsidR="00097001" w:rsidRPr="00097001" w:rsidRDefault="0037471F" w:rsidP="00097001">
    <w:pPr>
      <w:tabs>
        <w:tab w:val="center" w:pos="4320"/>
        <w:tab w:val="right" w:pos="8640"/>
      </w:tabs>
      <w:spacing w:after="0" w:line="240" w:lineRule="auto"/>
      <w:ind w:left="0"/>
    </w:pPr>
    <w:r>
      <w:rPr>
        <w:sz w:val="14"/>
        <w:szCs w:val="14"/>
        <w:lang w:val="ro-RO"/>
      </w:rPr>
      <w:t xml:space="preserve">                     www.</w:t>
    </w:r>
    <w:r w:rsidR="00097001" w:rsidRPr="00097001">
      <w:rPr>
        <w:sz w:val="14"/>
        <w:szCs w:val="14"/>
        <w:lang w:val="ro-RO"/>
      </w:rPr>
      <w:t>anofm.ro</w:t>
    </w:r>
  </w:p>
  <w:p w:rsidR="00097001" w:rsidRPr="00097001" w:rsidRDefault="00097001" w:rsidP="00097001">
    <w:pPr>
      <w:tabs>
        <w:tab w:val="left" w:pos="2790"/>
        <w:tab w:val="right" w:pos="8640"/>
      </w:tabs>
      <w:spacing w:after="0" w:line="240" w:lineRule="auto"/>
    </w:pPr>
  </w:p>
  <w:p w:rsidR="00427C17" w:rsidRPr="00F44190" w:rsidRDefault="00427C17" w:rsidP="00097001">
    <w:pPr>
      <w:pStyle w:val="Footer"/>
      <w:spacing w:after="0" w:line="240" w:lineRule="auto"/>
      <w:ind w:left="1440"/>
      <w:rPr>
        <w:sz w:val="14"/>
        <w:szCs w:val="14"/>
        <w:lang w:val="ro-R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8F" w:rsidRDefault="00F75A8F" w:rsidP="00CD5B3B">
      <w:r>
        <w:separator/>
      </w:r>
    </w:p>
  </w:footnote>
  <w:footnote w:type="continuationSeparator" w:id="0">
    <w:p w:rsidR="00F75A8F" w:rsidRDefault="00F75A8F" w:rsidP="00CD5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5103" w:type="dxa"/>
      <w:tblCellMar>
        <w:left w:w="0" w:type="dxa"/>
        <w:right w:w="0" w:type="dxa"/>
      </w:tblCellMar>
      <w:tblLook w:val="04A0" w:firstRow="1" w:lastRow="0" w:firstColumn="1" w:lastColumn="0" w:noHBand="0" w:noVBand="1"/>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14:anchorId="2479C2EF" wp14:editId="6E381527">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0" w:type="dxa"/>
      <w:tblInd w:w="-142" w:type="dxa"/>
      <w:tblLayout w:type="fixed"/>
      <w:tblCellMar>
        <w:left w:w="0" w:type="dxa"/>
        <w:right w:w="0" w:type="dxa"/>
      </w:tblCellMar>
      <w:tblLook w:val="04A0" w:firstRow="1" w:lastRow="0" w:firstColumn="1" w:lastColumn="0" w:noHBand="0" w:noVBand="1"/>
    </w:tblPr>
    <w:tblGrid>
      <w:gridCol w:w="5002"/>
      <w:gridCol w:w="2790"/>
      <w:gridCol w:w="3118"/>
    </w:tblGrid>
    <w:tr w:rsidR="002973E0" w:rsidTr="00022A4D">
      <w:tc>
        <w:tcPr>
          <w:tcW w:w="5002" w:type="dxa"/>
          <w:shd w:val="clear" w:color="auto" w:fill="auto"/>
        </w:tcPr>
        <w:p w:rsidR="002973E0" w:rsidRPr="002D0CDC" w:rsidRDefault="00936F88" w:rsidP="00E75DB3">
          <w:pPr>
            <w:pStyle w:val="MediumGrid21"/>
            <w:rPr>
              <w:lang w:val="ro-RO"/>
            </w:rPr>
          </w:pPr>
          <w:r>
            <w:rPr>
              <w:noProof/>
            </w:rPr>
            <w:drawing>
              <wp:inline distT="0" distB="0" distL="0" distR="0" wp14:anchorId="63C141E8" wp14:editId="080A3CB3">
                <wp:extent cx="3049995" cy="978195"/>
                <wp:effectExtent l="0" t="0" r="0" b="0"/>
                <wp:docPr id="1" name="Picture 1" descr="logo-MMPS-2019 cu coroana CMYK ro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MMPS-2019 cu coroana CMYK ro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0765" cy="981649"/>
                        </a:xfrm>
                        <a:prstGeom prst="rect">
                          <a:avLst/>
                        </a:prstGeom>
                        <a:noFill/>
                        <a:ln>
                          <a:noFill/>
                        </a:ln>
                      </pic:spPr>
                    </pic:pic>
                  </a:graphicData>
                </a:graphic>
              </wp:inline>
            </w:drawing>
          </w:r>
        </w:p>
      </w:tc>
      <w:tc>
        <w:tcPr>
          <w:tcW w:w="2790" w:type="dxa"/>
          <w:vAlign w:val="center"/>
        </w:tcPr>
        <w:p w:rsidR="002973E0" w:rsidRDefault="002973E0" w:rsidP="00E75DB3">
          <w:pPr>
            <w:pStyle w:val="MediumGrid21"/>
            <w:jc w:val="center"/>
            <w:rPr>
              <w:noProof/>
              <w:lang w:val="ro-RO" w:eastAsia="ro-RO"/>
            </w:rPr>
          </w:pPr>
        </w:p>
      </w:tc>
      <w:tc>
        <w:tcPr>
          <w:tcW w:w="3118" w:type="dxa"/>
          <w:shd w:val="clear" w:color="auto" w:fill="auto"/>
          <w:vAlign w:val="center"/>
        </w:tcPr>
        <w:p w:rsidR="002973E0" w:rsidRPr="002D0CDC" w:rsidRDefault="000946D6" w:rsidP="00E75DB3">
          <w:pPr>
            <w:pStyle w:val="MediumGrid21"/>
            <w:jc w:val="right"/>
            <w:rPr>
              <w:lang w:val="ro-RO"/>
            </w:rPr>
          </w:pPr>
          <w:r>
            <w:rPr>
              <w:noProof/>
            </w:rPr>
            <w:drawing>
              <wp:inline distT="0" distB="0" distL="0" distR="0" wp14:anchorId="40AFADC0" wp14:editId="2EA971EC">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76350"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41CE38AC"/>
    <w:multiLevelType w:val="hybridMultilevel"/>
    <w:tmpl w:val="04441CD2"/>
    <w:lvl w:ilvl="0" w:tplc="72103448">
      <w:numFmt w:val="bullet"/>
      <w:lvlText w:val="-"/>
      <w:lvlJc w:val="left"/>
      <w:pPr>
        <w:ind w:left="1494" w:hanging="360"/>
      </w:pPr>
      <w:rPr>
        <w:rFonts w:ascii="Trebuchet MS" w:eastAsia="MS Mincho" w:hAnsi="Trebuchet MS"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F2C"/>
    <w:rsid w:val="00000A1C"/>
    <w:rsid w:val="00000BDB"/>
    <w:rsid w:val="0001072D"/>
    <w:rsid w:val="00011077"/>
    <w:rsid w:val="00022A4D"/>
    <w:rsid w:val="000270BE"/>
    <w:rsid w:val="00032874"/>
    <w:rsid w:val="00035F49"/>
    <w:rsid w:val="000373AF"/>
    <w:rsid w:val="00042E51"/>
    <w:rsid w:val="00060C7D"/>
    <w:rsid w:val="00061CAD"/>
    <w:rsid w:val="0007334F"/>
    <w:rsid w:val="0007474B"/>
    <w:rsid w:val="00081663"/>
    <w:rsid w:val="000832EB"/>
    <w:rsid w:val="0008725F"/>
    <w:rsid w:val="000946D6"/>
    <w:rsid w:val="00097001"/>
    <w:rsid w:val="00097142"/>
    <w:rsid w:val="000A5D78"/>
    <w:rsid w:val="000E6233"/>
    <w:rsid w:val="000F688A"/>
    <w:rsid w:val="00100F36"/>
    <w:rsid w:val="00111787"/>
    <w:rsid w:val="00114549"/>
    <w:rsid w:val="00117926"/>
    <w:rsid w:val="00117D97"/>
    <w:rsid w:val="00125B1D"/>
    <w:rsid w:val="001478A6"/>
    <w:rsid w:val="00151B4D"/>
    <w:rsid w:val="00167BD6"/>
    <w:rsid w:val="00171AC3"/>
    <w:rsid w:val="00171F86"/>
    <w:rsid w:val="001A4FF7"/>
    <w:rsid w:val="001B502F"/>
    <w:rsid w:val="001C4D54"/>
    <w:rsid w:val="001C727D"/>
    <w:rsid w:val="001D07E4"/>
    <w:rsid w:val="001E7455"/>
    <w:rsid w:val="001E7D4A"/>
    <w:rsid w:val="001F0458"/>
    <w:rsid w:val="00206CEA"/>
    <w:rsid w:val="00213334"/>
    <w:rsid w:val="0021532B"/>
    <w:rsid w:val="00242556"/>
    <w:rsid w:val="002612E6"/>
    <w:rsid w:val="00263BCF"/>
    <w:rsid w:val="002669B1"/>
    <w:rsid w:val="002673A1"/>
    <w:rsid w:val="00267875"/>
    <w:rsid w:val="002958AF"/>
    <w:rsid w:val="002973E0"/>
    <w:rsid w:val="002A4E89"/>
    <w:rsid w:val="002A5742"/>
    <w:rsid w:val="002C5608"/>
    <w:rsid w:val="002C59E9"/>
    <w:rsid w:val="002E22A9"/>
    <w:rsid w:val="002E4F03"/>
    <w:rsid w:val="002F2C39"/>
    <w:rsid w:val="00305247"/>
    <w:rsid w:val="003070E3"/>
    <w:rsid w:val="003134B0"/>
    <w:rsid w:val="00323AB2"/>
    <w:rsid w:val="003277BC"/>
    <w:rsid w:val="00340697"/>
    <w:rsid w:val="0034286D"/>
    <w:rsid w:val="003503C0"/>
    <w:rsid w:val="00364B14"/>
    <w:rsid w:val="00370CDC"/>
    <w:rsid w:val="0037471F"/>
    <w:rsid w:val="00390AEC"/>
    <w:rsid w:val="00395093"/>
    <w:rsid w:val="003E2220"/>
    <w:rsid w:val="003E5155"/>
    <w:rsid w:val="003F0631"/>
    <w:rsid w:val="003F3265"/>
    <w:rsid w:val="003F33C5"/>
    <w:rsid w:val="004012C9"/>
    <w:rsid w:val="00404FAC"/>
    <w:rsid w:val="00415D13"/>
    <w:rsid w:val="004161B0"/>
    <w:rsid w:val="00427180"/>
    <w:rsid w:val="00427C17"/>
    <w:rsid w:val="00441A7F"/>
    <w:rsid w:val="00441E15"/>
    <w:rsid w:val="00442796"/>
    <w:rsid w:val="00443AE8"/>
    <w:rsid w:val="00445CBA"/>
    <w:rsid w:val="004470E1"/>
    <w:rsid w:val="004510F7"/>
    <w:rsid w:val="00451AD0"/>
    <w:rsid w:val="004570C0"/>
    <w:rsid w:val="004714D6"/>
    <w:rsid w:val="00485BBB"/>
    <w:rsid w:val="00493AD5"/>
    <w:rsid w:val="004A1133"/>
    <w:rsid w:val="004A51F6"/>
    <w:rsid w:val="004A6223"/>
    <w:rsid w:val="004B4D88"/>
    <w:rsid w:val="004D32C1"/>
    <w:rsid w:val="004D5F89"/>
    <w:rsid w:val="004E19FD"/>
    <w:rsid w:val="004E3CBB"/>
    <w:rsid w:val="004F10B8"/>
    <w:rsid w:val="0050285D"/>
    <w:rsid w:val="00504A07"/>
    <w:rsid w:val="0050611E"/>
    <w:rsid w:val="00511D6E"/>
    <w:rsid w:val="0051391D"/>
    <w:rsid w:val="005260B3"/>
    <w:rsid w:val="00544099"/>
    <w:rsid w:val="005515C2"/>
    <w:rsid w:val="005727E1"/>
    <w:rsid w:val="0057501B"/>
    <w:rsid w:val="005A0010"/>
    <w:rsid w:val="005A05FA"/>
    <w:rsid w:val="005A1201"/>
    <w:rsid w:val="005A36DF"/>
    <w:rsid w:val="005B0684"/>
    <w:rsid w:val="005B2ABF"/>
    <w:rsid w:val="005C0668"/>
    <w:rsid w:val="005D5DFD"/>
    <w:rsid w:val="005E42CF"/>
    <w:rsid w:val="005E6FFA"/>
    <w:rsid w:val="00611CA9"/>
    <w:rsid w:val="00620097"/>
    <w:rsid w:val="006322FD"/>
    <w:rsid w:val="00637D9B"/>
    <w:rsid w:val="006579C6"/>
    <w:rsid w:val="006631F1"/>
    <w:rsid w:val="00671E90"/>
    <w:rsid w:val="00672D83"/>
    <w:rsid w:val="00681A8A"/>
    <w:rsid w:val="00684F1B"/>
    <w:rsid w:val="006A263E"/>
    <w:rsid w:val="006B417E"/>
    <w:rsid w:val="006B528B"/>
    <w:rsid w:val="006C31A1"/>
    <w:rsid w:val="006D01D3"/>
    <w:rsid w:val="006D0827"/>
    <w:rsid w:val="006E1F27"/>
    <w:rsid w:val="006F6D00"/>
    <w:rsid w:val="007005AB"/>
    <w:rsid w:val="00700BF3"/>
    <w:rsid w:val="00702E2A"/>
    <w:rsid w:val="007045F2"/>
    <w:rsid w:val="00722488"/>
    <w:rsid w:val="00722BEC"/>
    <w:rsid w:val="00723D83"/>
    <w:rsid w:val="007322B0"/>
    <w:rsid w:val="0073648D"/>
    <w:rsid w:val="00766E0E"/>
    <w:rsid w:val="00770312"/>
    <w:rsid w:val="0077225E"/>
    <w:rsid w:val="00782076"/>
    <w:rsid w:val="00787C9A"/>
    <w:rsid w:val="007914E2"/>
    <w:rsid w:val="00796A97"/>
    <w:rsid w:val="007A720A"/>
    <w:rsid w:val="007B005F"/>
    <w:rsid w:val="007B31C4"/>
    <w:rsid w:val="007C1EDA"/>
    <w:rsid w:val="007C72C4"/>
    <w:rsid w:val="007E4E59"/>
    <w:rsid w:val="007F4455"/>
    <w:rsid w:val="00822A44"/>
    <w:rsid w:val="00835A3F"/>
    <w:rsid w:val="00846443"/>
    <w:rsid w:val="00865756"/>
    <w:rsid w:val="00872110"/>
    <w:rsid w:val="00881A51"/>
    <w:rsid w:val="00887484"/>
    <w:rsid w:val="00896CE2"/>
    <w:rsid w:val="008A0FDC"/>
    <w:rsid w:val="008A2AC0"/>
    <w:rsid w:val="008C4503"/>
    <w:rsid w:val="008D6B84"/>
    <w:rsid w:val="008E3375"/>
    <w:rsid w:val="008E5BAE"/>
    <w:rsid w:val="008F4048"/>
    <w:rsid w:val="008F4603"/>
    <w:rsid w:val="009000C4"/>
    <w:rsid w:val="00904EDE"/>
    <w:rsid w:val="00915096"/>
    <w:rsid w:val="00920D12"/>
    <w:rsid w:val="009312CC"/>
    <w:rsid w:val="00936F88"/>
    <w:rsid w:val="00936FDE"/>
    <w:rsid w:val="00937B6C"/>
    <w:rsid w:val="00944611"/>
    <w:rsid w:val="00973E5A"/>
    <w:rsid w:val="009919FD"/>
    <w:rsid w:val="009A383C"/>
    <w:rsid w:val="009A4875"/>
    <w:rsid w:val="009B6BD3"/>
    <w:rsid w:val="009D2FC4"/>
    <w:rsid w:val="009E6E93"/>
    <w:rsid w:val="009F5097"/>
    <w:rsid w:val="009F7E6C"/>
    <w:rsid w:val="00A1301F"/>
    <w:rsid w:val="00A15A38"/>
    <w:rsid w:val="00A21957"/>
    <w:rsid w:val="00A271CD"/>
    <w:rsid w:val="00A367F3"/>
    <w:rsid w:val="00A367FF"/>
    <w:rsid w:val="00A50FC8"/>
    <w:rsid w:val="00A52996"/>
    <w:rsid w:val="00A568EB"/>
    <w:rsid w:val="00A80125"/>
    <w:rsid w:val="00A855FF"/>
    <w:rsid w:val="00AA478F"/>
    <w:rsid w:val="00AB44A1"/>
    <w:rsid w:val="00AB5590"/>
    <w:rsid w:val="00AC5F09"/>
    <w:rsid w:val="00AD4041"/>
    <w:rsid w:val="00AD5C16"/>
    <w:rsid w:val="00AD6ACF"/>
    <w:rsid w:val="00AE2177"/>
    <w:rsid w:val="00AE26B4"/>
    <w:rsid w:val="00AE4E16"/>
    <w:rsid w:val="00B10A34"/>
    <w:rsid w:val="00B124EE"/>
    <w:rsid w:val="00B1258E"/>
    <w:rsid w:val="00B13BB4"/>
    <w:rsid w:val="00B3143E"/>
    <w:rsid w:val="00B4093B"/>
    <w:rsid w:val="00B44471"/>
    <w:rsid w:val="00B521F2"/>
    <w:rsid w:val="00B6080C"/>
    <w:rsid w:val="00B8302B"/>
    <w:rsid w:val="00B84E92"/>
    <w:rsid w:val="00B85404"/>
    <w:rsid w:val="00BA184B"/>
    <w:rsid w:val="00BB6240"/>
    <w:rsid w:val="00BC2025"/>
    <w:rsid w:val="00BD08C1"/>
    <w:rsid w:val="00BD70CF"/>
    <w:rsid w:val="00BE283F"/>
    <w:rsid w:val="00BE7398"/>
    <w:rsid w:val="00BE73B1"/>
    <w:rsid w:val="00BE7B02"/>
    <w:rsid w:val="00C02DE8"/>
    <w:rsid w:val="00C05F49"/>
    <w:rsid w:val="00C13BE4"/>
    <w:rsid w:val="00C16C64"/>
    <w:rsid w:val="00C20EF1"/>
    <w:rsid w:val="00C225FD"/>
    <w:rsid w:val="00C27E76"/>
    <w:rsid w:val="00C539DE"/>
    <w:rsid w:val="00C56257"/>
    <w:rsid w:val="00C6554C"/>
    <w:rsid w:val="00C7255C"/>
    <w:rsid w:val="00C73386"/>
    <w:rsid w:val="00C92DE1"/>
    <w:rsid w:val="00C94CC6"/>
    <w:rsid w:val="00C963F3"/>
    <w:rsid w:val="00CA2E12"/>
    <w:rsid w:val="00CB567C"/>
    <w:rsid w:val="00CD0C6C"/>
    <w:rsid w:val="00CD0F06"/>
    <w:rsid w:val="00CD256B"/>
    <w:rsid w:val="00CD4F94"/>
    <w:rsid w:val="00CD5B3B"/>
    <w:rsid w:val="00CE5831"/>
    <w:rsid w:val="00CF3A2B"/>
    <w:rsid w:val="00D05E66"/>
    <w:rsid w:val="00D06E9C"/>
    <w:rsid w:val="00D11BF1"/>
    <w:rsid w:val="00D1328B"/>
    <w:rsid w:val="00D20C32"/>
    <w:rsid w:val="00D22B19"/>
    <w:rsid w:val="00D25AE1"/>
    <w:rsid w:val="00D44463"/>
    <w:rsid w:val="00D4625D"/>
    <w:rsid w:val="00D62431"/>
    <w:rsid w:val="00D86F1D"/>
    <w:rsid w:val="00D96A31"/>
    <w:rsid w:val="00DA2381"/>
    <w:rsid w:val="00DC05D3"/>
    <w:rsid w:val="00DC08D4"/>
    <w:rsid w:val="00DF42F3"/>
    <w:rsid w:val="00E026D4"/>
    <w:rsid w:val="00E11F3F"/>
    <w:rsid w:val="00E24E56"/>
    <w:rsid w:val="00E30486"/>
    <w:rsid w:val="00E42F45"/>
    <w:rsid w:val="00E53964"/>
    <w:rsid w:val="00E562FC"/>
    <w:rsid w:val="00E63F46"/>
    <w:rsid w:val="00E66338"/>
    <w:rsid w:val="00E67B70"/>
    <w:rsid w:val="00E75DB3"/>
    <w:rsid w:val="00E85F7A"/>
    <w:rsid w:val="00EA0F6C"/>
    <w:rsid w:val="00EA21E9"/>
    <w:rsid w:val="00EA282B"/>
    <w:rsid w:val="00EA52D3"/>
    <w:rsid w:val="00EA61D6"/>
    <w:rsid w:val="00EB07F0"/>
    <w:rsid w:val="00EB5EC6"/>
    <w:rsid w:val="00EC67A8"/>
    <w:rsid w:val="00EE1146"/>
    <w:rsid w:val="00F00DED"/>
    <w:rsid w:val="00F20FDD"/>
    <w:rsid w:val="00F23F04"/>
    <w:rsid w:val="00F30C27"/>
    <w:rsid w:val="00F44190"/>
    <w:rsid w:val="00F571E5"/>
    <w:rsid w:val="00F659E6"/>
    <w:rsid w:val="00F67D20"/>
    <w:rsid w:val="00F75A8F"/>
    <w:rsid w:val="00F77807"/>
    <w:rsid w:val="00F92DC9"/>
    <w:rsid w:val="00FA264C"/>
    <w:rsid w:val="00FA3041"/>
    <w:rsid w:val="00FB5B18"/>
    <w:rsid w:val="00FB6D27"/>
    <w:rsid w:val="00FC2E87"/>
    <w:rsid w:val="00FC4284"/>
    <w:rsid w:val="00FC7A98"/>
    <w:rsid w:val="00FE0A73"/>
    <w:rsid w:val="00FE2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5A12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97001"/>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 w:type="paragraph" w:styleId="ListParagraph">
    <w:name w:val="List Paragraph"/>
    <w:basedOn w:val="Normal"/>
    <w:uiPriority w:val="72"/>
    <w:qFormat/>
    <w:rsid w:val="005A1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tm.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D972-D959-4078-86FB-AAE30DB22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687</Words>
  <Characters>3917</Characters>
  <Application>Microsoft Office Word</Application>
  <DocSecurity>0</DocSecurity>
  <Lines>32</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4595</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Simona Poting</cp:lastModifiedBy>
  <cp:revision>7</cp:revision>
  <cp:lastPrinted>2020-06-05T08:17:00Z</cp:lastPrinted>
  <dcterms:created xsi:type="dcterms:W3CDTF">2020-06-05T07:44:00Z</dcterms:created>
  <dcterms:modified xsi:type="dcterms:W3CDTF">2020-06-05T08:20:00Z</dcterms:modified>
</cp:coreProperties>
</file>