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A80CEA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Aprilie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>
        <w:rPr>
          <w:rFonts w:eastAsia="Times New Roman"/>
          <w:bCs/>
        </w:rPr>
        <w:t>23</w:t>
      </w:r>
    </w:p>
    <w:p w:rsidR="00D762AA" w:rsidRDefault="00D762A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D762AA" w:rsidRDefault="00D762A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80CEA" w:rsidRPr="00A80CEA" w:rsidRDefault="00A80CEA" w:rsidP="00A80CEA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80CEA">
        <w:rPr>
          <w:rFonts w:eastAsia="Times New Roman"/>
          <w:b/>
          <w:bCs/>
          <w:color w:val="000000"/>
          <w:lang w:val="ro-RO"/>
        </w:rPr>
        <w:t>230 locuri de muncă vacante în Spaţiul Economic European</w:t>
      </w:r>
    </w:p>
    <w:p w:rsidR="00A80CEA" w:rsidRDefault="00A80CEA" w:rsidP="00A80CEA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80CEA" w:rsidRPr="00A80CEA" w:rsidRDefault="00A80CEA" w:rsidP="00A80CEA">
      <w:pPr>
        <w:spacing w:after="0"/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Angajatorii din Spaţiul Economic European oferă, prin int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ermediul reţelei EURES România,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230 locuri de muncă vacante, după cum urmează:</w:t>
      </w:r>
    </w:p>
    <w:p w:rsidR="00A80CEA" w:rsidRPr="00A80CEA" w:rsidRDefault="00A80CEA" w:rsidP="00A80CEA">
      <w:pPr>
        <w:spacing w:after="0"/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</w:p>
    <w:p w:rsidR="00A80CEA" w:rsidRPr="00A80CEA" w:rsidRDefault="00A80CEA" w:rsidP="00A80CEA">
      <w:pPr>
        <w:spacing w:after="0"/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  <w:r w:rsidRPr="00A80CEA">
        <w:rPr>
          <w:rFonts w:eastAsia="Times New Roman"/>
          <w:b/>
          <w:bCs/>
          <w:color w:val="000000"/>
          <w:sz w:val="24"/>
          <w:szCs w:val="24"/>
          <w:lang w:val="ro-RO"/>
        </w:rPr>
        <w:t>Norvegia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 xml:space="preserve"> – 120 locuri de muncă pentru: bucătar; manager departament; manager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bucătărie; șofer de cisternă; brutar; patiser; muncitor în producția de crabi; muncitor în</w:t>
      </w:r>
      <w:r w:rsidR="00B66F31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producție;</w:t>
      </w:r>
    </w:p>
    <w:p w:rsidR="00A80CEA" w:rsidRPr="00A80CEA" w:rsidRDefault="00A80CEA" w:rsidP="00A80CEA">
      <w:pPr>
        <w:spacing w:after="0"/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  <w:r w:rsidRPr="00A80CEA">
        <w:rPr>
          <w:rFonts w:eastAsia="Times New Roman"/>
          <w:b/>
          <w:bCs/>
          <w:color w:val="000000"/>
          <w:sz w:val="24"/>
          <w:szCs w:val="24"/>
          <w:lang w:val="ro-RO"/>
        </w:rPr>
        <w:t>Austria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 xml:space="preserve"> – 52 locuri de muncă pentru: instalator sanitar/aer </w:t>
      </w:r>
      <w:r w:rsidR="00B66F31">
        <w:rPr>
          <w:rFonts w:eastAsia="Times New Roman"/>
          <w:bCs/>
          <w:color w:val="000000"/>
          <w:sz w:val="24"/>
          <w:szCs w:val="24"/>
          <w:lang w:val="ro-RO"/>
        </w:rPr>
        <w:t xml:space="preserve">condiționat; muncitor calificat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în domeniul mecanicii; operator mașină; recepționer; ajut</w:t>
      </w:r>
      <w:r w:rsidR="00B66F31">
        <w:rPr>
          <w:rFonts w:eastAsia="Times New Roman"/>
          <w:bCs/>
          <w:color w:val="000000"/>
          <w:sz w:val="24"/>
          <w:szCs w:val="24"/>
          <w:lang w:val="ro-RO"/>
        </w:rPr>
        <w:t xml:space="preserve">or bucătar; bucătar; cameristă;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barman; chef de rang/manager restaurant; ospătar/chelner; ajutor ospătar;</w:t>
      </w:r>
    </w:p>
    <w:p w:rsidR="00A80CEA" w:rsidRPr="00A80CEA" w:rsidRDefault="00A80CEA" w:rsidP="00A80CEA">
      <w:pPr>
        <w:spacing w:after="0"/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  <w:r w:rsidRPr="00A80CEA">
        <w:rPr>
          <w:rFonts w:eastAsia="Times New Roman"/>
          <w:b/>
          <w:bCs/>
          <w:color w:val="000000"/>
          <w:sz w:val="24"/>
          <w:szCs w:val="24"/>
          <w:lang w:val="ro-RO"/>
        </w:rPr>
        <w:t xml:space="preserve">Finlanda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– 37 locuri de muncă pentru: muncitor în construcţi</w:t>
      </w:r>
      <w:r w:rsidR="00B66F31">
        <w:rPr>
          <w:rFonts w:eastAsia="Times New Roman"/>
          <w:bCs/>
          <w:color w:val="000000"/>
          <w:sz w:val="24"/>
          <w:szCs w:val="24"/>
          <w:lang w:val="ro-RO"/>
        </w:rPr>
        <w:t xml:space="preserve">i; lucrător în oţel pe şantiere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de construcţii; muncitor în producția de cârnați; munc</w:t>
      </w:r>
      <w:r w:rsidR="00B66F31">
        <w:rPr>
          <w:rFonts w:eastAsia="Times New Roman"/>
          <w:bCs/>
          <w:color w:val="000000"/>
          <w:sz w:val="24"/>
          <w:szCs w:val="24"/>
          <w:lang w:val="ro-RO"/>
        </w:rPr>
        <w:t xml:space="preserve">itor necalificat – culegător de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căpșuni;</w:t>
      </w:r>
    </w:p>
    <w:p w:rsidR="00A80CEA" w:rsidRPr="00A80CEA" w:rsidRDefault="00A80CEA" w:rsidP="00A80CEA">
      <w:pPr>
        <w:spacing w:after="0"/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  <w:r w:rsidRPr="00A80CEA">
        <w:rPr>
          <w:rFonts w:eastAsia="Times New Roman"/>
          <w:b/>
          <w:bCs/>
          <w:color w:val="000000"/>
          <w:sz w:val="24"/>
          <w:szCs w:val="24"/>
          <w:lang w:val="ro-RO"/>
        </w:rPr>
        <w:t>Germania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 xml:space="preserve"> – 15 locuri de muncă pentru: asistent medical generalist sau asist</w:t>
      </w:r>
      <w:r w:rsidR="00B66F31">
        <w:rPr>
          <w:rFonts w:eastAsia="Times New Roman"/>
          <w:bCs/>
          <w:color w:val="000000"/>
          <w:sz w:val="24"/>
          <w:szCs w:val="24"/>
          <w:lang w:val="ro-RO"/>
        </w:rPr>
        <w:t xml:space="preserve">ent medical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 xml:space="preserve">de radiologie; asistent medical; farmacist; lucrător </w:t>
      </w:r>
      <w:r w:rsidR="00B66F31">
        <w:rPr>
          <w:rFonts w:eastAsia="Times New Roman"/>
          <w:bCs/>
          <w:color w:val="000000"/>
          <w:sz w:val="24"/>
          <w:szCs w:val="24"/>
          <w:lang w:val="ro-RO"/>
        </w:rPr>
        <w:t xml:space="preserve">în bucătărie; bucătar; ospătar;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grădinar; mecanic instalații pentru refrigerare; electrician;</w:t>
      </w:r>
    </w:p>
    <w:p w:rsidR="00A80CEA" w:rsidRPr="00A80CEA" w:rsidRDefault="00A80CEA" w:rsidP="00A80CEA">
      <w:pPr>
        <w:spacing w:after="0"/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  <w:r w:rsidRPr="00A80CEA">
        <w:rPr>
          <w:rFonts w:eastAsia="Times New Roman"/>
          <w:b/>
          <w:bCs/>
          <w:color w:val="000000"/>
          <w:sz w:val="24"/>
          <w:szCs w:val="24"/>
          <w:lang w:val="ro-RO"/>
        </w:rPr>
        <w:t xml:space="preserve">Olanda </w:t>
      </w:r>
      <w:r w:rsidRPr="00A80CEA">
        <w:rPr>
          <w:rFonts w:eastAsia="Times New Roman"/>
          <w:bCs/>
          <w:color w:val="000000"/>
          <w:sz w:val="24"/>
          <w:szCs w:val="24"/>
          <w:lang w:val="ro-RO"/>
        </w:rPr>
        <w:t>- 6 locuri de muncă pentru: operator cnc; personal curățenie.</w:t>
      </w:r>
    </w:p>
    <w:p w:rsidR="007F572D" w:rsidRPr="00A80CEA" w:rsidRDefault="007F572D" w:rsidP="00A8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/>
          <w:sz w:val="24"/>
          <w:szCs w:val="24"/>
        </w:rPr>
      </w:pPr>
    </w:p>
    <w:p w:rsidR="00B415B6" w:rsidRPr="00A80CEA" w:rsidRDefault="007F572D" w:rsidP="007F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A80CEA">
        <w:rPr>
          <w:rFonts w:eastAsia="Times New Roman" w:cs="Courier New"/>
          <w:sz w:val="24"/>
          <w:szCs w:val="24"/>
        </w:rPr>
        <w:tab/>
      </w:r>
      <w:r w:rsidR="00B415B6" w:rsidRPr="00A80CEA">
        <w:rPr>
          <w:rFonts w:eastAsia="Times New Roman" w:cs="Courier New"/>
          <w:sz w:val="24"/>
          <w:szCs w:val="24"/>
        </w:rPr>
        <w:t xml:space="preserve">Persoanele interesate să ocupe un loc de muncă Spaţiul Economic European pot consulta ofertele accesând </w:t>
      </w:r>
      <w:hyperlink r:id="rId8" w:history="1">
        <w:r w:rsidR="00B415B6" w:rsidRPr="00A80CEA">
          <w:rPr>
            <w:rFonts w:eastAsia="Times New Roman" w:cs="Courier New"/>
            <w:color w:val="0000FF"/>
            <w:sz w:val="24"/>
            <w:szCs w:val="24"/>
            <w:u w:val="single"/>
          </w:rPr>
          <w:t>www.anofm.ro/EURES</w:t>
        </w:r>
      </w:hyperlink>
      <w:r w:rsidR="00B415B6" w:rsidRPr="00A80CEA">
        <w:rPr>
          <w:rFonts w:eastAsia="Times New Roman" w:cs="Courier New"/>
          <w:sz w:val="24"/>
          <w:szCs w:val="24"/>
        </w:rPr>
        <w:t xml:space="preserve"> sau se pot adresa agenţiei judetene pentru ocuparea forţei de muncă Teleorman, com</w:t>
      </w:r>
      <w:r w:rsidR="00755172" w:rsidRPr="00A80CEA">
        <w:rPr>
          <w:rFonts w:eastAsia="Times New Roman" w:cs="Courier New"/>
          <w:sz w:val="24"/>
          <w:szCs w:val="24"/>
        </w:rPr>
        <w:t>p</w:t>
      </w:r>
      <w:r w:rsidR="00B415B6" w:rsidRPr="00A80CEA">
        <w:rPr>
          <w:rFonts w:eastAsia="Times New Roman" w:cs="Courier New"/>
          <w:sz w:val="24"/>
          <w:szCs w:val="24"/>
        </w:rPr>
        <w:t xml:space="preserve">artiment EURES, email : </w:t>
      </w:r>
      <w:hyperlink r:id="rId9" w:history="1">
        <w:r w:rsidR="00B415B6" w:rsidRPr="00A80CEA">
          <w:rPr>
            <w:rStyle w:val="Hyperlink"/>
            <w:rFonts w:eastAsia="Times New Roman" w:cs="Courier New"/>
            <w:sz w:val="24"/>
            <w:szCs w:val="24"/>
          </w:rPr>
          <w:t>isabela.dobrescu.tr@anofm.gov.ro</w:t>
        </w:r>
      </w:hyperlink>
      <w:r w:rsidR="00B415B6" w:rsidRPr="00A80CEA">
        <w:rPr>
          <w:rFonts w:eastAsia="Times New Roman" w:cs="Courier New"/>
          <w:sz w:val="24"/>
          <w:szCs w:val="24"/>
        </w:rPr>
        <w:t>, tel: 0247315915.</w:t>
      </w:r>
    </w:p>
    <w:p w:rsidR="007F572D" w:rsidRDefault="007F572D" w:rsidP="001E3F40">
      <w:pPr>
        <w:ind w:left="0"/>
      </w:pPr>
    </w:p>
    <w:p w:rsidR="00B66F31" w:rsidRDefault="00B66F31" w:rsidP="001E3F40">
      <w:pPr>
        <w:ind w:left="0"/>
      </w:pPr>
    </w:p>
    <w:p w:rsidR="0064672F" w:rsidRDefault="001E3F40" w:rsidP="001E3F40">
      <w:pPr>
        <w:ind w:left="0"/>
      </w:pPr>
      <w:bookmarkStart w:id="0" w:name="_GoBack"/>
      <w:bookmarkEnd w:id="0"/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8457B8" w:rsidRDefault="001E3F40" w:rsidP="001E3F40">
      <w:pPr>
        <w:ind w:left="0"/>
      </w:pPr>
      <w:r>
        <w:t xml:space="preserve">OPREA NELU IONEL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6D16" w:rsidRDefault="001E3F40" w:rsidP="00556D16">
      <w:pPr>
        <w:ind w:left="5040" w:firstLine="720"/>
      </w:pPr>
      <w:r>
        <w:t>Intocmit</w:t>
      </w:r>
    </w:p>
    <w:p w:rsidR="001E3F40" w:rsidRDefault="008457B8" w:rsidP="00556D16">
      <w:pPr>
        <w:ind w:left="4320" w:firstLine="720"/>
      </w:pPr>
      <w:r>
        <w:t>Cirjan-Marinescu Mihaela</w:t>
      </w:r>
    </w:p>
    <w:sectPr w:rsidR="001E3F40" w:rsidSect="0081589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11" w:rsidRDefault="002B5D11" w:rsidP="00CD5B3B">
      <w:r>
        <w:separator/>
      </w:r>
    </w:p>
  </w:endnote>
  <w:endnote w:type="continuationSeparator" w:id="0">
    <w:p w:rsidR="002B5D11" w:rsidRDefault="002B5D1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6A1A" w:rsidRPr="00556A1A" w:rsidRDefault="00203C09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9CCD6" wp14:editId="1D5414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  <w:r w:rsidR="00556A1A" w:rsidRPr="00556A1A">
              <w:t xml:space="preserve"> </w:t>
            </w:r>
            <w:r w:rsidR="00556A1A" w:rsidRPr="00556A1A">
              <w:rPr>
                <w:sz w:val="14"/>
                <w:szCs w:val="14"/>
                <w:lang w:val="ro-RO"/>
              </w:rPr>
              <w:t>AGENŢIA JUDEŢEANĂ PENTRU OCUPAREA FORŢEI DE MUNCĂ TELEORMAN</w:t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Operator de date cu caracter personal nr. 551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Str. Dunării, nr. 1, Alexandria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Tel.: +4 0247 310 155; +4 0247 312 944; +4 0247 315 915; Fax: +4 0247 311 164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e-mail: ajofm@tr.anofm.ro;</w:t>
            </w:r>
          </w:p>
          <w:p w:rsidR="002C59E9" w:rsidRPr="0081589B" w:rsidRDefault="00556A1A" w:rsidP="00556A1A">
            <w:pPr>
              <w:pStyle w:val="Footer"/>
              <w:spacing w:after="0" w:line="240" w:lineRule="auto"/>
              <w:ind w:left="0"/>
            </w:pPr>
            <w:r w:rsidRPr="00556A1A">
              <w:rPr>
                <w:sz w:val="14"/>
                <w:szCs w:val="14"/>
                <w:lang w:val="ro-RO"/>
              </w:rPr>
              <w:t>https://www.anofm.ro/index.html?agentie=Teleorman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11" w:rsidRDefault="002B5D11" w:rsidP="00CD5B3B">
      <w:r>
        <w:separator/>
      </w:r>
    </w:p>
  </w:footnote>
  <w:footnote w:type="continuationSeparator" w:id="0">
    <w:p w:rsidR="002B5D11" w:rsidRDefault="002B5D1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51402DC7" wp14:editId="262903A3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68D9"/>
    <w:rsid w:val="001402E1"/>
    <w:rsid w:val="00142BC4"/>
    <w:rsid w:val="001662D5"/>
    <w:rsid w:val="001710DA"/>
    <w:rsid w:val="00175BA3"/>
    <w:rsid w:val="00181E27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B5D11"/>
    <w:rsid w:val="002C4224"/>
    <w:rsid w:val="002C59E9"/>
    <w:rsid w:val="002D1FCE"/>
    <w:rsid w:val="002E6520"/>
    <w:rsid w:val="002F6FE7"/>
    <w:rsid w:val="002F7760"/>
    <w:rsid w:val="003070E3"/>
    <w:rsid w:val="00307E51"/>
    <w:rsid w:val="003134B0"/>
    <w:rsid w:val="0031361D"/>
    <w:rsid w:val="00316C97"/>
    <w:rsid w:val="00350433"/>
    <w:rsid w:val="00350745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2797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56A1A"/>
    <w:rsid w:val="00556D16"/>
    <w:rsid w:val="00565DFC"/>
    <w:rsid w:val="005709BF"/>
    <w:rsid w:val="00572475"/>
    <w:rsid w:val="0057501B"/>
    <w:rsid w:val="00596228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07D73"/>
    <w:rsid w:val="007210DF"/>
    <w:rsid w:val="00722BEC"/>
    <w:rsid w:val="007322B0"/>
    <w:rsid w:val="00745803"/>
    <w:rsid w:val="00753804"/>
    <w:rsid w:val="00755172"/>
    <w:rsid w:val="00764B06"/>
    <w:rsid w:val="00766E0E"/>
    <w:rsid w:val="00773EAA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7F3DAD"/>
    <w:rsid w:val="007F572D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6A3"/>
    <w:rsid w:val="008A2AC0"/>
    <w:rsid w:val="008A53D1"/>
    <w:rsid w:val="008C4503"/>
    <w:rsid w:val="008C4AC0"/>
    <w:rsid w:val="008E3011"/>
    <w:rsid w:val="009003BC"/>
    <w:rsid w:val="00903C23"/>
    <w:rsid w:val="00904EDE"/>
    <w:rsid w:val="00905922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B090D"/>
    <w:rsid w:val="009B7A96"/>
    <w:rsid w:val="009C08D4"/>
    <w:rsid w:val="009C1392"/>
    <w:rsid w:val="009D1365"/>
    <w:rsid w:val="00A0659C"/>
    <w:rsid w:val="00A11F5B"/>
    <w:rsid w:val="00A23F6B"/>
    <w:rsid w:val="00A3484E"/>
    <w:rsid w:val="00A7188A"/>
    <w:rsid w:val="00A77977"/>
    <w:rsid w:val="00A77F43"/>
    <w:rsid w:val="00A80CEA"/>
    <w:rsid w:val="00A84CF2"/>
    <w:rsid w:val="00AC0850"/>
    <w:rsid w:val="00AC7947"/>
    <w:rsid w:val="00AD4EB3"/>
    <w:rsid w:val="00AE04EC"/>
    <w:rsid w:val="00AE1A44"/>
    <w:rsid w:val="00AE1B6E"/>
    <w:rsid w:val="00AE26B4"/>
    <w:rsid w:val="00B1107E"/>
    <w:rsid w:val="00B13BB4"/>
    <w:rsid w:val="00B17FE9"/>
    <w:rsid w:val="00B32D2A"/>
    <w:rsid w:val="00B415B6"/>
    <w:rsid w:val="00B44471"/>
    <w:rsid w:val="00B45E0F"/>
    <w:rsid w:val="00B47AE8"/>
    <w:rsid w:val="00B54DE2"/>
    <w:rsid w:val="00B63385"/>
    <w:rsid w:val="00B66F31"/>
    <w:rsid w:val="00BB0966"/>
    <w:rsid w:val="00BB5C4E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E6739"/>
    <w:rsid w:val="00CF6C64"/>
    <w:rsid w:val="00D01207"/>
    <w:rsid w:val="00D03CB0"/>
    <w:rsid w:val="00D040A5"/>
    <w:rsid w:val="00D06E9C"/>
    <w:rsid w:val="00D26ABF"/>
    <w:rsid w:val="00D366E4"/>
    <w:rsid w:val="00D44463"/>
    <w:rsid w:val="00D66D42"/>
    <w:rsid w:val="00D762AA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669F3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EURE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a.dobrescu.tr@anofm.gov.r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A1C6-0D48-4A7A-9281-CFD986EE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3</cp:revision>
  <cp:lastPrinted>2022-08-05T10:24:00Z</cp:lastPrinted>
  <dcterms:created xsi:type="dcterms:W3CDTF">2023-04-06T05:28:00Z</dcterms:created>
  <dcterms:modified xsi:type="dcterms:W3CDTF">2023-04-06T05:28:00Z</dcterms:modified>
</cp:coreProperties>
</file>