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0A29A6" w:rsidP="00250685">
      <w:pPr>
        <w:tabs>
          <w:tab w:val="left" w:pos="993"/>
        </w:tabs>
        <w:ind w:left="0"/>
        <w:jc w:val="right"/>
        <w:rPr>
          <w:rFonts w:eastAsia="Times New Roman"/>
          <w:bCs/>
        </w:rPr>
      </w:pPr>
      <w:r>
        <w:rPr>
          <w:rFonts w:eastAsia="Times New Roman"/>
          <w:bCs/>
        </w:rPr>
        <w:t>Octombrie</w:t>
      </w:r>
      <w:r w:rsidR="00A0659C">
        <w:rPr>
          <w:rFonts w:eastAsia="Times New Roman"/>
          <w:bCs/>
        </w:rPr>
        <w:t xml:space="preserve"> </w:t>
      </w:r>
      <w:r w:rsidR="007A461C">
        <w:rPr>
          <w:rFonts w:eastAsia="Times New Roman"/>
          <w:bCs/>
        </w:rPr>
        <w:t xml:space="preserve"> </w:t>
      </w:r>
      <w:r w:rsidR="00AE04EC">
        <w:rPr>
          <w:rFonts w:eastAsia="Times New Roman"/>
          <w:bCs/>
        </w:rPr>
        <w:t>20</w:t>
      </w:r>
      <w:r w:rsidR="00B32D2A">
        <w:rPr>
          <w:rFonts w:eastAsia="Times New Roman"/>
          <w:bCs/>
        </w:rPr>
        <w:t>22</w:t>
      </w:r>
    </w:p>
    <w:p w:rsidR="00D762AA" w:rsidRDefault="00D762AA" w:rsidP="00A77F43">
      <w:pPr>
        <w:spacing w:after="0"/>
        <w:ind w:left="0"/>
        <w:rPr>
          <w:rFonts w:eastAsia="Times New Roman"/>
          <w:b/>
          <w:bCs/>
          <w:color w:val="000000"/>
          <w:lang w:val="ro-RO"/>
        </w:rPr>
      </w:pPr>
    </w:p>
    <w:p w:rsidR="00A77F43" w:rsidRDefault="00A77F43" w:rsidP="00A77F43">
      <w:pPr>
        <w:spacing w:after="0"/>
        <w:ind w:left="0"/>
        <w:rPr>
          <w:rFonts w:eastAsia="Times New Roman"/>
          <w:b/>
          <w:bCs/>
          <w:color w:val="000000"/>
          <w:lang w:val="ro-RO"/>
        </w:rPr>
      </w:pPr>
      <w:r w:rsidRPr="00A77F43">
        <w:rPr>
          <w:rFonts w:eastAsia="Times New Roman"/>
          <w:b/>
          <w:bCs/>
          <w:color w:val="000000"/>
          <w:lang w:val="ro-RO"/>
        </w:rPr>
        <w:t>Comunicat de presă</w:t>
      </w:r>
    </w:p>
    <w:p w:rsidR="00BC33F2" w:rsidRPr="000A29A6" w:rsidRDefault="000A29A6" w:rsidP="00BC33F2">
      <w:pPr>
        <w:spacing w:before="100" w:beforeAutospacing="1" w:after="100" w:afterAutospacing="1" w:line="240" w:lineRule="auto"/>
        <w:ind w:left="0"/>
        <w:rPr>
          <w:rFonts w:eastAsia="Times New Roman"/>
          <w:sz w:val="20"/>
          <w:szCs w:val="20"/>
        </w:rPr>
      </w:pPr>
      <w:r w:rsidRPr="000A29A6">
        <w:rPr>
          <w:rFonts w:eastAsia="Times New Roman"/>
          <w:sz w:val="20"/>
          <w:szCs w:val="20"/>
        </w:rPr>
        <w:t>Potrivit Legii 27</w:t>
      </w:r>
      <w:r w:rsidR="00CC57DA">
        <w:rPr>
          <w:rFonts w:eastAsia="Times New Roman"/>
          <w:sz w:val="20"/>
          <w:szCs w:val="20"/>
        </w:rPr>
        <w:t>3/2022, publicată în Monitorul O</w:t>
      </w:r>
      <w:r w:rsidRPr="000A29A6">
        <w:rPr>
          <w:rFonts w:eastAsia="Times New Roman"/>
          <w:sz w:val="20"/>
          <w:szCs w:val="20"/>
        </w:rPr>
        <w:t>ficial</w:t>
      </w:r>
      <w:r w:rsidR="00CC57DA">
        <w:rPr>
          <w:rFonts w:eastAsia="Times New Roman"/>
          <w:sz w:val="20"/>
          <w:szCs w:val="20"/>
        </w:rPr>
        <w:t>,</w:t>
      </w:r>
      <w:bookmarkStart w:id="0" w:name="_GoBack"/>
      <w:bookmarkEnd w:id="0"/>
      <w:r w:rsidRPr="000A29A6">
        <w:rPr>
          <w:rFonts w:eastAsia="Times New Roman"/>
          <w:sz w:val="20"/>
          <w:szCs w:val="20"/>
        </w:rPr>
        <w:t xml:space="preserve"> </w:t>
      </w:r>
      <w:r w:rsidRPr="00C154D0">
        <w:rPr>
          <w:rFonts w:eastAsia="Times New Roman"/>
          <w:b/>
          <w:bCs/>
          <w:sz w:val="20"/>
          <w:szCs w:val="20"/>
        </w:rPr>
        <w:t>cuantumul indemnizației de șomaj se va majora și va ajunge la valoarea indicatorului social de referință</w:t>
      </w:r>
      <w:r w:rsidRPr="000A29A6">
        <w:rPr>
          <w:rFonts w:eastAsia="Times New Roman"/>
          <w:sz w:val="20"/>
          <w:szCs w:val="20"/>
        </w:rPr>
        <w:t xml:space="preserve"> (ISR) în vigoare la data stabilirii acestuia, pentru cei care au efectuat un stagiu de cotizare de cel puțin un an.</w:t>
      </w:r>
      <w:r w:rsidR="00BC33F2" w:rsidRPr="00C154D0">
        <w:rPr>
          <w:rFonts w:eastAsia="Times New Roman"/>
          <w:sz w:val="20"/>
          <w:szCs w:val="20"/>
        </w:rPr>
        <w:t xml:space="preserve"> </w:t>
      </w:r>
      <w:r w:rsidR="00BC33F2" w:rsidRPr="000A29A6">
        <w:rPr>
          <w:rFonts w:eastAsia="Times New Roman"/>
          <w:sz w:val="20"/>
          <w:szCs w:val="20"/>
        </w:rPr>
        <w:t xml:space="preserve">În prezent, </w:t>
      </w:r>
      <w:r w:rsidR="00BC33F2" w:rsidRPr="00C154D0">
        <w:rPr>
          <w:rFonts w:eastAsia="Times New Roman"/>
          <w:sz w:val="20"/>
          <w:szCs w:val="20"/>
        </w:rPr>
        <w:t>valoarea ISR</w:t>
      </w:r>
      <w:r w:rsidR="00BC33F2" w:rsidRPr="000A29A6">
        <w:rPr>
          <w:rFonts w:eastAsia="Times New Roman"/>
          <w:sz w:val="20"/>
          <w:szCs w:val="20"/>
        </w:rPr>
        <w:t xml:space="preserve"> este de </w:t>
      </w:r>
      <w:r w:rsidR="00BC33F2" w:rsidRPr="00C154D0">
        <w:rPr>
          <w:rFonts w:eastAsia="Times New Roman"/>
          <w:b/>
          <w:bCs/>
          <w:sz w:val="20"/>
          <w:szCs w:val="20"/>
        </w:rPr>
        <w:t>525,5 lei.</w:t>
      </w:r>
    </w:p>
    <w:p w:rsidR="003D5791" w:rsidRPr="00C154D0" w:rsidRDefault="003D5791" w:rsidP="00BC33F2">
      <w:pPr>
        <w:spacing w:before="100" w:beforeAutospacing="1" w:after="100" w:afterAutospacing="1" w:line="240" w:lineRule="auto"/>
        <w:ind w:left="0"/>
        <w:rPr>
          <w:rFonts w:eastAsia="Times New Roman"/>
          <w:sz w:val="20"/>
          <w:szCs w:val="20"/>
          <w:lang w:val="ro-RO"/>
        </w:rPr>
      </w:pPr>
      <w:r w:rsidRPr="00C154D0">
        <w:rPr>
          <w:rFonts w:eastAsia="Times New Roman"/>
          <w:sz w:val="20"/>
          <w:szCs w:val="20"/>
          <w:lang w:val="ro-RO"/>
        </w:rPr>
        <w:t xml:space="preserve">În funcţie de stagiul de cotizare </w:t>
      </w:r>
      <w:r w:rsidR="00BC33F2" w:rsidRPr="00C154D0">
        <w:rPr>
          <w:rFonts w:eastAsia="Times New Roman"/>
          <w:sz w:val="20"/>
          <w:szCs w:val="20"/>
          <w:lang w:val="ro-RO"/>
        </w:rPr>
        <w:t>, la calculul indemnizaţie</w:t>
      </w:r>
      <w:r w:rsidR="00CC57DA">
        <w:rPr>
          <w:rFonts w:eastAsia="Times New Roman"/>
          <w:sz w:val="20"/>
          <w:szCs w:val="20"/>
          <w:lang w:val="ro-RO"/>
        </w:rPr>
        <w:t>i</w:t>
      </w:r>
      <w:r w:rsidR="00BC33F2" w:rsidRPr="00C154D0">
        <w:rPr>
          <w:rFonts w:eastAsia="Times New Roman"/>
          <w:sz w:val="20"/>
          <w:szCs w:val="20"/>
          <w:lang w:val="ro-RO"/>
        </w:rPr>
        <w:t xml:space="preserve"> se adauga o sumă calculata prin aplicarea asupra mediei salariului de baza lunar brut pe ultimele 12 luni de stagiu de cotizare, a unei cote procentuale diferentiate in functie de stagiul de cotizare.</w:t>
      </w:r>
    </w:p>
    <w:p w:rsidR="00BC33F2" w:rsidRPr="00C154D0" w:rsidRDefault="00BC33F2" w:rsidP="00BC33F2">
      <w:pPr>
        <w:spacing w:before="100" w:beforeAutospacing="1" w:after="100" w:afterAutospacing="1" w:line="240" w:lineRule="auto"/>
        <w:ind w:left="0"/>
        <w:rPr>
          <w:rFonts w:eastAsia="Times New Roman"/>
          <w:sz w:val="20"/>
          <w:szCs w:val="20"/>
          <w:lang w:val="ro-RO"/>
        </w:rPr>
      </w:pPr>
      <w:r w:rsidRPr="00C154D0">
        <w:rPr>
          <w:rFonts w:eastAsia="Times New Roman"/>
          <w:sz w:val="20"/>
          <w:szCs w:val="20"/>
          <w:lang w:val="ro-RO"/>
        </w:rPr>
        <w:t>Cotele procentuale diferentiate in functie de stagiul de cotizare, sunt:</w:t>
      </w:r>
    </w:p>
    <w:p w:rsidR="00BC33F2" w:rsidRPr="00C154D0" w:rsidRDefault="00BC33F2" w:rsidP="00BC33F2">
      <w:pPr>
        <w:spacing w:after="0" w:line="240" w:lineRule="auto"/>
        <w:ind w:left="0"/>
        <w:rPr>
          <w:rFonts w:eastAsia="Times New Roman"/>
          <w:sz w:val="20"/>
          <w:szCs w:val="20"/>
          <w:lang w:val="ro-RO"/>
        </w:rPr>
      </w:pPr>
      <w:r w:rsidRPr="00C154D0">
        <w:rPr>
          <w:rFonts w:eastAsia="Times New Roman"/>
          <w:sz w:val="20"/>
          <w:szCs w:val="20"/>
          <w:lang w:val="ro-RO"/>
        </w:rPr>
        <w:t>a) 3% pentru persoanele cu un stagiu de cotizare de cel putin 3 ani;</w:t>
      </w:r>
    </w:p>
    <w:p w:rsidR="00BC33F2" w:rsidRPr="00C154D0" w:rsidRDefault="00BC33F2" w:rsidP="00BC33F2">
      <w:pPr>
        <w:spacing w:after="0" w:line="240" w:lineRule="auto"/>
        <w:ind w:left="0"/>
        <w:rPr>
          <w:rFonts w:eastAsia="Times New Roman"/>
          <w:sz w:val="20"/>
          <w:szCs w:val="20"/>
          <w:lang w:val="ro-RO"/>
        </w:rPr>
      </w:pPr>
      <w:r w:rsidRPr="00C154D0">
        <w:rPr>
          <w:rFonts w:eastAsia="Times New Roman"/>
          <w:sz w:val="20"/>
          <w:szCs w:val="20"/>
          <w:lang w:val="ro-RO"/>
        </w:rPr>
        <w:t>b) 5% pentru persoanele cu un stagiu de cotizare de cel putin 5 ani;</w:t>
      </w:r>
    </w:p>
    <w:p w:rsidR="00BC33F2" w:rsidRPr="00C154D0" w:rsidRDefault="00BC33F2" w:rsidP="00BC33F2">
      <w:pPr>
        <w:spacing w:after="0" w:line="240" w:lineRule="auto"/>
        <w:ind w:left="0"/>
        <w:rPr>
          <w:rFonts w:eastAsia="Times New Roman"/>
          <w:sz w:val="20"/>
          <w:szCs w:val="20"/>
          <w:lang w:val="ro-RO"/>
        </w:rPr>
      </w:pPr>
      <w:r w:rsidRPr="00C154D0">
        <w:rPr>
          <w:rFonts w:eastAsia="Times New Roman"/>
          <w:sz w:val="20"/>
          <w:szCs w:val="20"/>
          <w:lang w:val="ro-RO"/>
        </w:rPr>
        <w:t>c) 7% pentru persoanele cu un stagiu de cotizare de cel putin 10 ani;</w:t>
      </w:r>
    </w:p>
    <w:p w:rsidR="00BC33F2" w:rsidRPr="000A29A6" w:rsidRDefault="00BC33F2" w:rsidP="00BC33F2">
      <w:pPr>
        <w:spacing w:after="0" w:line="240" w:lineRule="auto"/>
        <w:ind w:left="0"/>
        <w:rPr>
          <w:rFonts w:eastAsia="Times New Roman"/>
          <w:sz w:val="20"/>
          <w:szCs w:val="20"/>
          <w:lang w:val="ro-RO"/>
        </w:rPr>
      </w:pPr>
      <w:r w:rsidRPr="00C154D0">
        <w:rPr>
          <w:rFonts w:eastAsia="Times New Roman"/>
          <w:sz w:val="20"/>
          <w:szCs w:val="20"/>
          <w:lang w:val="ro-RO"/>
        </w:rPr>
        <w:t>d) 10% pentru persoanele cu un stagiu de cotizare de cel putin 20 de ani.</w:t>
      </w:r>
    </w:p>
    <w:p w:rsidR="000A29A6" w:rsidRPr="00C154D0" w:rsidRDefault="000A29A6" w:rsidP="00BC33F2">
      <w:pPr>
        <w:spacing w:before="100" w:beforeAutospacing="1" w:after="100" w:afterAutospacing="1" w:line="240" w:lineRule="auto"/>
        <w:ind w:left="0"/>
        <w:rPr>
          <w:rFonts w:eastAsia="Times New Roman"/>
          <w:sz w:val="20"/>
          <w:szCs w:val="20"/>
        </w:rPr>
      </w:pPr>
      <w:r w:rsidRPr="000A29A6">
        <w:rPr>
          <w:rFonts w:eastAsia="Times New Roman"/>
          <w:sz w:val="20"/>
          <w:szCs w:val="20"/>
        </w:rPr>
        <w:t xml:space="preserve">Reamintim că, pentru a beneficia de șomaj, </w:t>
      </w:r>
      <w:r w:rsidRPr="00C154D0">
        <w:rPr>
          <w:rFonts w:eastAsia="Times New Roman"/>
          <w:sz w:val="20"/>
          <w:szCs w:val="20"/>
        </w:rPr>
        <w:t>solicitantul trebuie</w:t>
      </w:r>
      <w:r w:rsidRPr="000A29A6">
        <w:rPr>
          <w:rFonts w:eastAsia="Times New Roman"/>
          <w:sz w:val="20"/>
          <w:szCs w:val="20"/>
        </w:rPr>
        <w:t xml:space="preserve"> să se înregistreze la agențiile pentru ocuparea forței de muncă în a căror rază teritorială îș</w:t>
      </w:r>
      <w:r w:rsidRPr="00C154D0">
        <w:rPr>
          <w:rFonts w:eastAsia="Times New Roman"/>
          <w:sz w:val="20"/>
          <w:szCs w:val="20"/>
        </w:rPr>
        <w:t xml:space="preserve">i are domiciliul sau reședința </w:t>
      </w:r>
      <w:r w:rsidRPr="00C154D0">
        <w:rPr>
          <w:rFonts w:eastAsia="Times New Roman"/>
          <w:sz w:val="20"/>
          <w:szCs w:val="20"/>
          <w:lang w:val="ro-RO"/>
        </w:rPr>
        <w:t>şi trebuie îndeplinite cumulativ următoarele condiţii</w:t>
      </w:r>
      <w:r w:rsidRPr="00C154D0">
        <w:rPr>
          <w:rFonts w:eastAsia="Times New Roman"/>
          <w:sz w:val="20"/>
          <w:szCs w:val="20"/>
        </w:rPr>
        <w:t>:</w:t>
      </w:r>
    </w:p>
    <w:p w:rsidR="000A29A6" w:rsidRPr="00C154D0" w:rsidRDefault="000A29A6" w:rsidP="00BC33F2">
      <w:pPr>
        <w:numPr>
          <w:ilvl w:val="0"/>
          <w:numId w:val="2"/>
        </w:numPr>
        <w:spacing w:before="100" w:beforeAutospacing="1" w:after="100" w:afterAutospacing="1" w:line="240" w:lineRule="auto"/>
        <w:rPr>
          <w:rFonts w:eastAsia="Times New Roman"/>
          <w:sz w:val="20"/>
          <w:szCs w:val="20"/>
        </w:rPr>
      </w:pPr>
      <w:r w:rsidRPr="000A29A6">
        <w:rPr>
          <w:rFonts w:eastAsia="Times New Roman"/>
          <w:sz w:val="20"/>
          <w:szCs w:val="20"/>
        </w:rPr>
        <w:t>domiciliul (sau reședința legală) în România;</w:t>
      </w:r>
    </w:p>
    <w:p w:rsidR="003D5791" w:rsidRPr="00C154D0" w:rsidRDefault="003D5791" w:rsidP="00BC33F2">
      <w:pPr>
        <w:numPr>
          <w:ilvl w:val="0"/>
          <w:numId w:val="2"/>
        </w:numPr>
        <w:spacing w:before="100" w:beforeAutospacing="1" w:after="100" w:afterAutospacing="1" w:line="240" w:lineRule="auto"/>
        <w:rPr>
          <w:rFonts w:eastAsia="Times New Roman"/>
          <w:sz w:val="20"/>
          <w:szCs w:val="20"/>
        </w:rPr>
      </w:pPr>
      <w:r w:rsidRPr="00C154D0">
        <w:rPr>
          <w:rFonts w:eastAsia="Times New Roman"/>
          <w:sz w:val="20"/>
          <w:szCs w:val="20"/>
          <w:lang w:val="ro-RO"/>
        </w:rPr>
        <w:t>vărsta de minim 16 ani şi până la îndeplinirea condiţiilor de pensionare</w:t>
      </w:r>
      <w:r w:rsidRPr="00C154D0">
        <w:rPr>
          <w:rFonts w:eastAsia="Times New Roman"/>
          <w:sz w:val="20"/>
          <w:szCs w:val="20"/>
        </w:rPr>
        <w:t>;</w:t>
      </w:r>
    </w:p>
    <w:p w:rsidR="003D5791" w:rsidRPr="000A29A6" w:rsidRDefault="003D5791" w:rsidP="00BC33F2">
      <w:pPr>
        <w:numPr>
          <w:ilvl w:val="0"/>
          <w:numId w:val="2"/>
        </w:numPr>
        <w:spacing w:before="100" w:beforeAutospacing="1" w:after="100" w:afterAutospacing="1" w:line="240" w:lineRule="auto"/>
        <w:rPr>
          <w:rFonts w:eastAsia="Times New Roman"/>
          <w:sz w:val="20"/>
          <w:szCs w:val="20"/>
        </w:rPr>
      </w:pPr>
      <w:r w:rsidRPr="00C154D0">
        <w:rPr>
          <w:rFonts w:eastAsia="Times New Roman"/>
          <w:sz w:val="20"/>
          <w:szCs w:val="20"/>
        </w:rPr>
        <w:t>starea de sănătate şi capacităţile fizice şi psihice o fac aptă pentru prestarea unei munci;</w:t>
      </w:r>
    </w:p>
    <w:p w:rsidR="000A29A6" w:rsidRPr="000A29A6" w:rsidRDefault="000A29A6" w:rsidP="00BC33F2">
      <w:pPr>
        <w:numPr>
          <w:ilvl w:val="0"/>
          <w:numId w:val="2"/>
        </w:numPr>
        <w:spacing w:before="100" w:beforeAutospacing="1" w:after="100" w:afterAutospacing="1" w:line="240" w:lineRule="auto"/>
        <w:rPr>
          <w:rFonts w:eastAsia="Times New Roman"/>
          <w:sz w:val="20"/>
          <w:szCs w:val="20"/>
        </w:rPr>
      </w:pPr>
      <w:r w:rsidRPr="000A29A6">
        <w:rPr>
          <w:rFonts w:eastAsia="Times New Roman"/>
          <w:sz w:val="20"/>
          <w:szCs w:val="20"/>
        </w:rPr>
        <w:t>pierderea locului de muncă să nu fie rezultatul unei situații care să poată fi imputată solicitantului de indemnizație de șomaj, indiferent că este vorba despre un angajat cu un contract individual de muncă pe durată determinată, nedeterminată sau sezonieră; </w:t>
      </w:r>
    </w:p>
    <w:p w:rsidR="000A29A6" w:rsidRPr="000A29A6" w:rsidRDefault="000A29A6" w:rsidP="00BC33F2">
      <w:pPr>
        <w:numPr>
          <w:ilvl w:val="0"/>
          <w:numId w:val="2"/>
        </w:numPr>
        <w:spacing w:before="100" w:beforeAutospacing="1" w:after="100" w:afterAutospacing="1" w:line="240" w:lineRule="auto"/>
        <w:rPr>
          <w:rFonts w:eastAsia="Times New Roman"/>
          <w:sz w:val="20"/>
          <w:szCs w:val="20"/>
        </w:rPr>
      </w:pPr>
      <w:r w:rsidRPr="000A29A6">
        <w:rPr>
          <w:rFonts w:eastAsia="Times New Roman"/>
          <w:sz w:val="20"/>
          <w:szCs w:val="20"/>
        </w:rPr>
        <w:t>să existe o asigurare pentru șomaj sau să fi contribuit la sistemul de asigurări de șomaj timp de cel puțin 12 luni din cele 24 care preced momentul solicitării acestei indemnizații (condiția nu se aplică absolvenților instituțiilor de învățământ care au cel puțin 16 ani și care nu au reușit să se angajeze în 60 de zile de la data absolvirii cursurilor instituției de învățământ respective sau și-au pierdut locul de muncă în primul an de activitate);</w:t>
      </w:r>
    </w:p>
    <w:p w:rsidR="000A29A6" w:rsidRPr="000A29A6" w:rsidRDefault="000A29A6" w:rsidP="00BC33F2">
      <w:pPr>
        <w:numPr>
          <w:ilvl w:val="0"/>
          <w:numId w:val="2"/>
        </w:numPr>
        <w:spacing w:before="100" w:beforeAutospacing="1" w:after="100" w:afterAutospacing="1" w:line="240" w:lineRule="auto"/>
        <w:rPr>
          <w:rFonts w:eastAsia="Times New Roman"/>
          <w:sz w:val="20"/>
          <w:szCs w:val="20"/>
        </w:rPr>
      </w:pPr>
      <w:r w:rsidRPr="000A29A6">
        <w:rPr>
          <w:rFonts w:eastAsia="Times New Roman"/>
          <w:sz w:val="20"/>
          <w:szCs w:val="20"/>
        </w:rPr>
        <w:t>solicitantul indemnizației de șomaj nu trebuie să realizeze venituri; </w:t>
      </w:r>
    </w:p>
    <w:p w:rsidR="000A29A6" w:rsidRPr="000A29A6" w:rsidRDefault="000A29A6" w:rsidP="00BC33F2">
      <w:pPr>
        <w:numPr>
          <w:ilvl w:val="0"/>
          <w:numId w:val="2"/>
        </w:numPr>
        <w:spacing w:before="100" w:beforeAutospacing="1" w:after="100" w:afterAutospacing="1" w:line="240" w:lineRule="auto"/>
        <w:rPr>
          <w:rFonts w:eastAsia="Times New Roman"/>
          <w:sz w:val="20"/>
          <w:szCs w:val="20"/>
        </w:rPr>
      </w:pPr>
      <w:r w:rsidRPr="000A29A6">
        <w:rPr>
          <w:rFonts w:eastAsia="Times New Roman"/>
          <w:sz w:val="20"/>
          <w:szCs w:val="20"/>
        </w:rPr>
        <w:t>dacă solicitantul indemnizației de șomaj realizează venituri, acestea nu trebuie să fie mai mari decât valoarea indicatorului social de referință (ISR).</w:t>
      </w:r>
    </w:p>
    <w:p w:rsidR="00C82C8C" w:rsidRPr="00C154D0" w:rsidRDefault="00BC33F2" w:rsidP="00BC33F2">
      <w:pPr>
        <w:ind w:left="0"/>
        <w:rPr>
          <w:sz w:val="20"/>
          <w:szCs w:val="20"/>
        </w:rPr>
      </w:pPr>
      <w:r w:rsidRPr="00C154D0">
        <w:rPr>
          <w:sz w:val="20"/>
          <w:szCs w:val="20"/>
        </w:rPr>
        <w:t xml:space="preserve">Relaţii suplimentare legate de condiţiile de acordare,documentele necesare pentru stabilirea dreptului la indemnizaţie, drepturile şi obligaţiile şomerilor indemnizaţi, data acordării dreptului, perioada de timp în care se poate solicita indemnizaţia, se pot obtine la sediul agenţiilor/punctelor de lucru sau consultăand site-ul instituţiei : </w:t>
      </w:r>
      <w:hyperlink r:id="rId9" w:history="1">
        <w:r w:rsidR="00C154D0" w:rsidRPr="00C154D0">
          <w:rPr>
            <w:rStyle w:val="Hyperlink"/>
            <w:sz w:val="20"/>
            <w:szCs w:val="20"/>
          </w:rPr>
          <w:t>https://www.anofm.ro/index.html?agentie=Teleorman</w:t>
        </w:r>
      </w:hyperlink>
      <w:r w:rsidR="00C154D0" w:rsidRPr="00C154D0">
        <w:rPr>
          <w:sz w:val="20"/>
          <w:szCs w:val="20"/>
        </w:rPr>
        <w:t>, sectiunea Persoane fizice.</w:t>
      </w:r>
    </w:p>
    <w:p w:rsidR="0064672F" w:rsidRDefault="001E3F40" w:rsidP="001E3F40">
      <w:pPr>
        <w:ind w:left="0"/>
      </w:pPr>
      <w:r>
        <w:t xml:space="preserve">DIRECTOR EXECUTIV    </w:t>
      </w:r>
      <w:r>
        <w:tab/>
      </w:r>
      <w:r>
        <w:tab/>
      </w:r>
      <w:r>
        <w:tab/>
      </w:r>
      <w:r>
        <w:tab/>
      </w:r>
    </w:p>
    <w:p w:rsidR="001E3F40" w:rsidRDefault="001E3F40" w:rsidP="00C154D0">
      <w:pPr>
        <w:ind w:left="0"/>
      </w:pPr>
      <w:r>
        <w:t xml:space="preserve">OPREA NELU IONEL        </w:t>
      </w:r>
      <w:r w:rsidR="00C154D0">
        <w:t xml:space="preserve">                                              I</w:t>
      </w:r>
      <w:r>
        <w:t>ntocmit</w:t>
      </w:r>
      <w:r w:rsidR="00C154D0">
        <w:t>:</w:t>
      </w:r>
      <w:r w:rsidR="008457B8">
        <w:t>Cirjan-Marinescu Mihaela</w:t>
      </w:r>
    </w:p>
    <w:sectPr w:rsidR="001E3F40" w:rsidSect="0081589B">
      <w:headerReference w:type="default"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AD" w:rsidRDefault="00F674AD" w:rsidP="00CD5B3B">
      <w:r>
        <w:separator/>
      </w:r>
    </w:p>
  </w:endnote>
  <w:endnote w:type="continuationSeparator" w:id="0">
    <w:p w:rsidR="00F674AD" w:rsidRDefault="00F674A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556A1A" w:rsidRPr="00556A1A" w:rsidRDefault="00203C09" w:rsidP="00556A1A">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E99CCD6" wp14:editId="1D54148C">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r w:rsidR="00556A1A" w:rsidRPr="00556A1A">
              <w:t xml:space="preserve"> </w:t>
            </w:r>
            <w:r w:rsidR="00556A1A" w:rsidRPr="00556A1A">
              <w:rPr>
                <w:sz w:val="14"/>
                <w:szCs w:val="14"/>
                <w:lang w:val="ro-RO"/>
              </w:rPr>
              <w:t>AGENŢIA JUDEŢEANĂ PENTRU OCUPAREA FORŢEI DE MUNCĂ TELEORMAN</w:t>
            </w:r>
            <w:r w:rsidR="00556A1A" w:rsidRPr="00556A1A">
              <w:rPr>
                <w:sz w:val="14"/>
                <w:szCs w:val="14"/>
                <w:lang w:val="ro-RO"/>
              </w:rPr>
              <w:tab/>
            </w:r>
            <w:r w:rsidR="00556A1A" w:rsidRPr="00556A1A">
              <w:rPr>
                <w:sz w:val="14"/>
                <w:szCs w:val="14"/>
                <w:lang w:val="ro-RO"/>
              </w:rPr>
              <w:tab/>
            </w:r>
            <w:r w:rsidR="00556A1A" w:rsidRPr="00556A1A">
              <w:rPr>
                <w:sz w:val="14"/>
                <w:szCs w:val="14"/>
                <w:lang w:val="ro-RO"/>
              </w:rPr>
              <w:tab/>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Operator de date cu caracter personal nr. 551</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Str. Dunării, nr. 1, Alexandria</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Tel.: +4 0247 310 155; +4 0247 312 944; +4 0247 315 915; Fax: +4 0247 311 164</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e-mail: ajofm@tr.anofm.ro;</w:t>
            </w:r>
          </w:p>
          <w:p w:rsidR="002C59E9" w:rsidRPr="0081589B" w:rsidRDefault="00556A1A" w:rsidP="00556A1A">
            <w:pPr>
              <w:pStyle w:val="Footer"/>
              <w:spacing w:after="0" w:line="240" w:lineRule="auto"/>
              <w:ind w:left="0"/>
            </w:pPr>
            <w:r w:rsidRPr="00556A1A">
              <w:rPr>
                <w:sz w:val="14"/>
                <w:szCs w:val="14"/>
                <w:lang w:val="ro-RO"/>
              </w:rPr>
              <w:t>https://www.anofm.ro/index.html?agentie=Teleorman</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AD" w:rsidRDefault="00F674AD" w:rsidP="00CD5B3B">
      <w:r>
        <w:separator/>
      </w:r>
    </w:p>
  </w:footnote>
  <w:footnote w:type="continuationSeparator" w:id="0">
    <w:p w:rsidR="00F674AD" w:rsidRDefault="00F674A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69923D9C" wp14:editId="2A52684F">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1332F8" w:rsidTr="006A0169">
      <w:tc>
        <w:tcPr>
          <w:tcW w:w="8647" w:type="dxa"/>
          <w:shd w:val="clear" w:color="auto" w:fill="auto"/>
        </w:tcPr>
        <w:p w:rsidR="001332F8" w:rsidRPr="00B44471" w:rsidRDefault="001332F8" w:rsidP="006A0169">
          <w:pPr>
            <w:pStyle w:val="MediumGrid21"/>
            <w:rPr>
              <w:lang w:val="ro-RO"/>
            </w:rPr>
          </w:pPr>
          <w:r>
            <w:rPr>
              <w:noProof/>
            </w:rPr>
            <w:drawing>
              <wp:inline distT="0" distB="0" distL="0" distR="0" wp14:anchorId="43AE1718" wp14:editId="08B8DDB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1332F8" w:rsidRDefault="001332F8" w:rsidP="006A0169">
          <w:pPr>
            <w:pStyle w:val="MediumGrid21"/>
            <w:jc w:val="right"/>
          </w:pPr>
          <w:r>
            <w:rPr>
              <w:noProof/>
            </w:rPr>
            <w:drawing>
              <wp:anchor distT="0" distB="0" distL="114300" distR="114300" simplePos="0" relativeHeight="251661312" behindDoc="0" locked="0" layoutInCell="1" allowOverlap="1" wp14:anchorId="45B06C93" wp14:editId="1C421287">
                <wp:simplePos x="0" y="0"/>
                <wp:positionH relativeFrom="column">
                  <wp:posOffset>217805</wp:posOffset>
                </wp:positionH>
                <wp:positionV relativeFrom="paragraph">
                  <wp:posOffset>15240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4695"/>
    <w:multiLevelType w:val="hybridMultilevel"/>
    <w:tmpl w:val="E8DCF1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2C3F25B7"/>
    <w:multiLevelType w:val="multilevel"/>
    <w:tmpl w:val="15C8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0B99"/>
    <w:rsid w:val="00042E51"/>
    <w:rsid w:val="00061610"/>
    <w:rsid w:val="00061C2F"/>
    <w:rsid w:val="00063F66"/>
    <w:rsid w:val="0007474B"/>
    <w:rsid w:val="000832EB"/>
    <w:rsid w:val="000841C4"/>
    <w:rsid w:val="000A29A6"/>
    <w:rsid w:val="000A6335"/>
    <w:rsid w:val="000B4214"/>
    <w:rsid w:val="000B5FD0"/>
    <w:rsid w:val="000E19B6"/>
    <w:rsid w:val="000F4498"/>
    <w:rsid w:val="000F688A"/>
    <w:rsid w:val="00100F36"/>
    <w:rsid w:val="00110666"/>
    <w:rsid w:val="001332F8"/>
    <w:rsid w:val="001368D9"/>
    <w:rsid w:val="001402E1"/>
    <w:rsid w:val="00142BC4"/>
    <w:rsid w:val="001662D5"/>
    <w:rsid w:val="001710DA"/>
    <w:rsid w:val="00175BA3"/>
    <w:rsid w:val="00181E27"/>
    <w:rsid w:val="001A6344"/>
    <w:rsid w:val="001A693E"/>
    <w:rsid w:val="001B7C0D"/>
    <w:rsid w:val="001C7CD3"/>
    <w:rsid w:val="001D7F70"/>
    <w:rsid w:val="001E3F40"/>
    <w:rsid w:val="001F3002"/>
    <w:rsid w:val="001F4FE3"/>
    <w:rsid w:val="00203C09"/>
    <w:rsid w:val="00211A58"/>
    <w:rsid w:val="0021532B"/>
    <w:rsid w:val="00232EC1"/>
    <w:rsid w:val="00240255"/>
    <w:rsid w:val="00250685"/>
    <w:rsid w:val="002673A1"/>
    <w:rsid w:val="00284B95"/>
    <w:rsid w:val="00296552"/>
    <w:rsid w:val="002A5742"/>
    <w:rsid w:val="002C4224"/>
    <w:rsid w:val="002C59E9"/>
    <w:rsid w:val="002D1FCE"/>
    <w:rsid w:val="002E6520"/>
    <w:rsid w:val="002F6FE7"/>
    <w:rsid w:val="002F7760"/>
    <w:rsid w:val="003070E3"/>
    <w:rsid w:val="00307E51"/>
    <w:rsid w:val="003134B0"/>
    <w:rsid w:val="0031361D"/>
    <w:rsid w:val="00316C97"/>
    <w:rsid w:val="00350433"/>
    <w:rsid w:val="00350745"/>
    <w:rsid w:val="00354247"/>
    <w:rsid w:val="00357B90"/>
    <w:rsid w:val="003622AE"/>
    <w:rsid w:val="00364525"/>
    <w:rsid w:val="00374B8E"/>
    <w:rsid w:val="003759D3"/>
    <w:rsid w:val="00395093"/>
    <w:rsid w:val="003B0BEB"/>
    <w:rsid w:val="003B6E86"/>
    <w:rsid w:val="003D0E8F"/>
    <w:rsid w:val="003D5791"/>
    <w:rsid w:val="003D5A60"/>
    <w:rsid w:val="003F2797"/>
    <w:rsid w:val="003F5082"/>
    <w:rsid w:val="00416051"/>
    <w:rsid w:val="00427C17"/>
    <w:rsid w:val="00431263"/>
    <w:rsid w:val="00441014"/>
    <w:rsid w:val="00441E15"/>
    <w:rsid w:val="00443AE8"/>
    <w:rsid w:val="00443E98"/>
    <w:rsid w:val="004448B3"/>
    <w:rsid w:val="004470E4"/>
    <w:rsid w:val="004510F7"/>
    <w:rsid w:val="00451AD0"/>
    <w:rsid w:val="004714D6"/>
    <w:rsid w:val="0047745D"/>
    <w:rsid w:val="00480A0C"/>
    <w:rsid w:val="00481475"/>
    <w:rsid w:val="0048440D"/>
    <w:rsid w:val="00484F33"/>
    <w:rsid w:val="00493AD5"/>
    <w:rsid w:val="004D5F89"/>
    <w:rsid w:val="004E3CBB"/>
    <w:rsid w:val="004F1B8D"/>
    <w:rsid w:val="005044F5"/>
    <w:rsid w:val="0050639D"/>
    <w:rsid w:val="00511D6E"/>
    <w:rsid w:val="0051391D"/>
    <w:rsid w:val="0052479B"/>
    <w:rsid w:val="00531FAF"/>
    <w:rsid w:val="0054453C"/>
    <w:rsid w:val="0055428E"/>
    <w:rsid w:val="00556A1A"/>
    <w:rsid w:val="00556D16"/>
    <w:rsid w:val="00565DFC"/>
    <w:rsid w:val="005709BF"/>
    <w:rsid w:val="00572475"/>
    <w:rsid w:val="0057501B"/>
    <w:rsid w:val="00596228"/>
    <w:rsid w:val="005A0010"/>
    <w:rsid w:val="005A2F05"/>
    <w:rsid w:val="005A36DF"/>
    <w:rsid w:val="005B0684"/>
    <w:rsid w:val="005B7455"/>
    <w:rsid w:val="005C3FE7"/>
    <w:rsid w:val="005D62CE"/>
    <w:rsid w:val="005E3FB5"/>
    <w:rsid w:val="005E564B"/>
    <w:rsid w:val="005E6FFA"/>
    <w:rsid w:val="005F3292"/>
    <w:rsid w:val="005F55B8"/>
    <w:rsid w:val="00603C8E"/>
    <w:rsid w:val="006224F4"/>
    <w:rsid w:val="00626690"/>
    <w:rsid w:val="00643F36"/>
    <w:rsid w:val="0064672F"/>
    <w:rsid w:val="006579C6"/>
    <w:rsid w:val="00666FEB"/>
    <w:rsid w:val="0066784B"/>
    <w:rsid w:val="00692559"/>
    <w:rsid w:val="0069783F"/>
    <w:rsid w:val="006A263E"/>
    <w:rsid w:val="006A4C8A"/>
    <w:rsid w:val="006B528B"/>
    <w:rsid w:val="006C2555"/>
    <w:rsid w:val="006C3A1B"/>
    <w:rsid w:val="006D6036"/>
    <w:rsid w:val="006E1F27"/>
    <w:rsid w:val="006E34C0"/>
    <w:rsid w:val="006E4BDA"/>
    <w:rsid w:val="00704CE3"/>
    <w:rsid w:val="00706D25"/>
    <w:rsid w:val="00707D73"/>
    <w:rsid w:val="007210DF"/>
    <w:rsid w:val="00722BEC"/>
    <w:rsid w:val="007322B0"/>
    <w:rsid w:val="00745803"/>
    <w:rsid w:val="00753804"/>
    <w:rsid w:val="00755172"/>
    <w:rsid w:val="00764B06"/>
    <w:rsid w:val="00766E0E"/>
    <w:rsid w:val="00773EAA"/>
    <w:rsid w:val="00775D76"/>
    <w:rsid w:val="007914E2"/>
    <w:rsid w:val="0079777D"/>
    <w:rsid w:val="007A461C"/>
    <w:rsid w:val="007B005F"/>
    <w:rsid w:val="007B1EE5"/>
    <w:rsid w:val="007B67CF"/>
    <w:rsid w:val="007C08FD"/>
    <w:rsid w:val="007C1EDA"/>
    <w:rsid w:val="007C2EBA"/>
    <w:rsid w:val="007C302F"/>
    <w:rsid w:val="007C5683"/>
    <w:rsid w:val="007F3DAD"/>
    <w:rsid w:val="007F572D"/>
    <w:rsid w:val="008000C0"/>
    <w:rsid w:val="008014BD"/>
    <w:rsid w:val="0080611A"/>
    <w:rsid w:val="008063AB"/>
    <w:rsid w:val="00807C0A"/>
    <w:rsid w:val="0081302F"/>
    <w:rsid w:val="00814251"/>
    <w:rsid w:val="0081547E"/>
    <w:rsid w:val="0081589B"/>
    <w:rsid w:val="0083206B"/>
    <w:rsid w:val="008427A3"/>
    <w:rsid w:val="008457B8"/>
    <w:rsid w:val="008460C5"/>
    <w:rsid w:val="00846443"/>
    <w:rsid w:val="0084701C"/>
    <w:rsid w:val="00857310"/>
    <w:rsid w:val="008636F8"/>
    <w:rsid w:val="008653B1"/>
    <w:rsid w:val="00872110"/>
    <w:rsid w:val="0088087B"/>
    <w:rsid w:val="0088681B"/>
    <w:rsid w:val="00887484"/>
    <w:rsid w:val="00896CE2"/>
    <w:rsid w:val="008A0FDC"/>
    <w:rsid w:val="008A26A3"/>
    <w:rsid w:val="008A2AC0"/>
    <w:rsid w:val="008A53D1"/>
    <w:rsid w:val="008C4503"/>
    <w:rsid w:val="008C4AC0"/>
    <w:rsid w:val="008E3011"/>
    <w:rsid w:val="009003BC"/>
    <w:rsid w:val="00903C23"/>
    <w:rsid w:val="00904EDE"/>
    <w:rsid w:val="00905922"/>
    <w:rsid w:val="00915096"/>
    <w:rsid w:val="00916FD9"/>
    <w:rsid w:val="00921A76"/>
    <w:rsid w:val="0092782C"/>
    <w:rsid w:val="009312CC"/>
    <w:rsid w:val="00931B51"/>
    <w:rsid w:val="00944611"/>
    <w:rsid w:val="009462B7"/>
    <w:rsid w:val="009508C1"/>
    <w:rsid w:val="00952F9C"/>
    <w:rsid w:val="00967BED"/>
    <w:rsid w:val="00975AC4"/>
    <w:rsid w:val="0098797A"/>
    <w:rsid w:val="00996BB5"/>
    <w:rsid w:val="009B090D"/>
    <w:rsid w:val="009B7A96"/>
    <w:rsid w:val="009C08D4"/>
    <w:rsid w:val="009C1392"/>
    <w:rsid w:val="009D1365"/>
    <w:rsid w:val="00A0659C"/>
    <w:rsid w:val="00A11F5B"/>
    <w:rsid w:val="00A23F6B"/>
    <w:rsid w:val="00A3484E"/>
    <w:rsid w:val="00A7188A"/>
    <w:rsid w:val="00A77977"/>
    <w:rsid w:val="00A77F43"/>
    <w:rsid w:val="00A84CF2"/>
    <w:rsid w:val="00AC0850"/>
    <w:rsid w:val="00AC7947"/>
    <w:rsid w:val="00AD292E"/>
    <w:rsid w:val="00AD4EB3"/>
    <w:rsid w:val="00AE04EC"/>
    <w:rsid w:val="00AE1A44"/>
    <w:rsid w:val="00AE1B6E"/>
    <w:rsid w:val="00AE26B4"/>
    <w:rsid w:val="00B1107E"/>
    <w:rsid w:val="00B13BB4"/>
    <w:rsid w:val="00B17FE9"/>
    <w:rsid w:val="00B32D2A"/>
    <w:rsid w:val="00B415B6"/>
    <w:rsid w:val="00B44471"/>
    <w:rsid w:val="00B45E0F"/>
    <w:rsid w:val="00B47AE8"/>
    <w:rsid w:val="00B54DE2"/>
    <w:rsid w:val="00B63385"/>
    <w:rsid w:val="00BB0966"/>
    <w:rsid w:val="00BB5C4E"/>
    <w:rsid w:val="00BC33F2"/>
    <w:rsid w:val="00BC3F68"/>
    <w:rsid w:val="00BC4789"/>
    <w:rsid w:val="00BC71EE"/>
    <w:rsid w:val="00BE283F"/>
    <w:rsid w:val="00BE7B02"/>
    <w:rsid w:val="00C01B88"/>
    <w:rsid w:val="00C05F49"/>
    <w:rsid w:val="00C13251"/>
    <w:rsid w:val="00C154D0"/>
    <w:rsid w:val="00C20EF1"/>
    <w:rsid w:val="00C3538E"/>
    <w:rsid w:val="00C37428"/>
    <w:rsid w:val="00C57930"/>
    <w:rsid w:val="00C6554C"/>
    <w:rsid w:val="00C7006B"/>
    <w:rsid w:val="00C70A89"/>
    <w:rsid w:val="00C82C8C"/>
    <w:rsid w:val="00C92DE1"/>
    <w:rsid w:val="00C94CC6"/>
    <w:rsid w:val="00C94CCA"/>
    <w:rsid w:val="00CA3F25"/>
    <w:rsid w:val="00CA4AAB"/>
    <w:rsid w:val="00CA4F45"/>
    <w:rsid w:val="00CB567C"/>
    <w:rsid w:val="00CB59C7"/>
    <w:rsid w:val="00CC348F"/>
    <w:rsid w:val="00CC57DA"/>
    <w:rsid w:val="00CD0C6C"/>
    <w:rsid w:val="00CD0F06"/>
    <w:rsid w:val="00CD5B3B"/>
    <w:rsid w:val="00CE6739"/>
    <w:rsid w:val="00CF6C64"/>
    <w:rsid w:val="00D01207"/>
    <w:rsid w:val="00D03CB0"/>
    <w:rsid w:val="00D040A5"/>
    <w:rsid w:val="00D06E9C"/>
    <w:rsid w:val="00D26ABF"/>
    <w:rsid w:val="00D366E4"/>
    <w:rsid w:val="00D44463"/>
    <w:rsid w:val="00D66D42"/>
    <w:rsid w:val="00D762AA"/>
    <w:rsid w:val="00D814BE"/>
    <w:rsid w:val="00D86F1D"/>
    <w:rsid w:val="00D924DB"/>
    <w:rsid w:val="00D96A31"/>
    <w:rsid w:val="00DA0AAD"/>
    <w:rsid w:val="00DB282C"/>
    <w:rsid w:val="00DE0BB9"/>
    <w:rsid w:val="00DF42F3"/>
    <w:rsid w:val="00E06DB5"/>
    <w:rsid w:val="00E12A21"/>
    <w:rsid w:val="00E13815"/>
    <w:rsid w:val="00E13B9D"/>
    <w:rsid w:val="00E14744"/>
    <w:rsid w:val="00E501DB"/>
    <w:rsid w:val="00E52242"/>
    <w:rsid w:val="00E562FC"/>
    <w:rsid w:val="00E669F3"/>
    <w:rsid w:val="00E76F7F"/>
    <w:rsid w:val="00E771B7"/>
    <w:rsid w:val="00E82324"/>
    <w:rsid w:val="00E90807"/>
    <w:rsid w:val="00E93208"/>
    <w:rsid w:val="00E95569"/>
    <w:rsid w:val="00EA0F6C"/>
    <w:rsid w:val="00EC0BD8"/>
    <w:rsid w:val="00EF0130"/>
    <w:rsid w:val="00EF2E6F"/>
    <w:rsid w:val="00F07C3C"/>
    <w:rsid w:val="00F20FDD"/>
    <w:rsid w:val="00F355BD"/>
    <w:rsid w:val="00F56BA3"/>
    <w:rsid w:val="00F659E6"/>
    <w:rsid w:val="00F674AD"/>
    <w:rsid w:val="00F67D20"/>
    <w:rsid w:val="00F77807"/>
    <w:rsid w:val="00F94C20"/>
    <w:rsid w:val="00FA4D94"/>
    <w:rsid w:val="00FB539F"/>
    <w:rsid w:val="00FB6D27"/>
    <w:rsid w:val="00FC2E87"/>
    <w:rsid w:val="00FC4284"/>
    <w:rsid w:val="00FC4B49"/>
    <w:rsid w:val="00FC6BBD"/>
    <w:rsid w:val="00FE0A73"/>
    <w:rsid w:val="00FE2F2C"/>
    <w:rsid w:val="00FE5645"/>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D7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D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1054">
      <w:bodyDiv w:val="1"/>
      <w:marLeft w:val="0"/>
      <w:marRight w:val="0"/>
      <w:marTop w:val="0"/>
      <w:marBottom w:val="0"/>
      <w:divBdr>
        <w:top w:val="none" w:sz="0" w:space="0" w:color="auto"/>
        <w:left w:val="none" w:sz="0" w:space="0" w:color="auto"/>
        <w:bottom w:val="none" w:sz="0" w:space="0" w:color="auto"/>
        <w:right w:val="none" w:sz="0" w:space="0" w:color="auto"/>
      </w:divBdr>
    </w:div>
    <w:div w:id="1011445794">
      <w:bodyDiv w:val="1"/>
      <w:marLeft w:val="0"/>
      <w:marRight w:val="0"/>
      <w:marTop w:val="0"/>
      <w:marBottom w:val="0"/>
      <w:divBdr>
        <w:top w:val="none" w:sz="0" w:space="0" w:color="auto"/>
        <w:left w:val="none" w:sz="0" w:space="0" w:color="auto"/>
        <w:bottom w:val="none" w:sz="0" w:space="0" w:color="auto"/>
        <w:right w:val="none" w:sz="0" w:space="0" w:color="auto"/>
      </w:divBdr>
    </w:div>
    <w:div w:id="1032341223">
      <w:bodyDiv w:val="1"/>
      <w:marLeft w:val="0"/>
      <w:marRight w:val="0"/>
      <w:marTop w:val="0"/>
      <w:marBottom w:val="0"/>
      <w:divBdr>
        <w:top w:val="none" w:sz="0" w:space="0" w:color="auto"/>
        <w:left w:val="none" w:sz="0" w:space="0" w:color="auto"/>
        <w:bottom w:val="none" w:sz="0" w:space="0" w:color="auto"/>
        <w:right w:val="none" w:sz="0" w:space="0" w:color="auto"/>
      </w:divBdr>
    </w:div>
    <w:div w:id="1156726251">
      <w:bodyDiv w:val="1"/>
      <w:marLeft w:val="0"/>
      <w:marRight w:val="0"/>
      <w:marTop w:val="0"/>
      <w:marBottom w:val="0"/>
      <w:divBdr>
        <w:top w:val="none" w:sz="0" w:space="0" w:color="auto"/>
        <w:left w:val="none" w:sz="0" w:space="0" w:color="auto"/>
        <w:bottom w:val="none" w:sz="0" w:space="0" w:color="auto"/>
        <w:right w:val="none" w:sz="0" w:space="0" w:color="auto"/>
      </w:divBdr>
    </w:div>
    <w:div w:id="1258176350">
      <w:bodyDiv w:val="1"/>
      <w:marLeft w:val="0"/>
      <w:marRight w:val="0"/>
      <w:marTop w:val="0"/>
      <w:marBottom w:val="0"/>
      <w:divBdr>
        <w:top w:val="none" w:sz="0" w:space="0" w:color="auto"/>
        <w:left w:val="none" w:sz="0" w:space="0" w:color="auto"/>
        <w:bottom w:val="none" w:sz="0" w:space="0" w:color="auto"/>
        <w:right w:val="none" w:sz="0" w:space="0" w:color="auto"/>
      </w:divBdr>
      <w:divsChild>
        <w:div w:id="99447454">
          <w:marLeft w:val="0"/>
          <w:marRight w:val="0"/>
          <w:marTop w:val="0"/>
          <w:marBottom w:val="0"/>
          <w:divBdr>
            <w:top w:val="none" w:sz="0" w:space="0" w:color="auto"/>
            <w:left w:val="none" w:sz="0" w:space="0" w:color="auto"/>
            <w:bottom w:val="none" w:sz="0" w:space="0" w:color="auto"/>
            <w:right w:val="none" w:sz="0" w:space="0" w:color="auto"/>
          </w:divBdr>
          <w:divsChild>
            <w:div w:id="1806654544">
              <w:marLeft w:val="0"/>
              <w:marRight w:val="0"/>
              <w:marTop w:val="0"/>
              <w:marBottom w:val="0"/>
              <w:divBdr>
                <w:top w:val="none" w:sz="0" w:space="0" w:color="auto"/>
                <w:left w:val="none" w:sz="0" w:space="0" w:color="auto"/>
                <w:bottom w:val="none" w:sz="0" w:space="0" w:color="auto"/>
                <w:right w:val="none" w:sz="0" w:space="0" w:color="auto"/>
              </w:divBdr>
              <w:divsChild>
                <w:div w:id="688021360">
                  <w:marLeft w:val="0"/>
                  <w:marRight w:val="0"/>
                  <w:marTop w:val="0"/>
                  <w:marBottom w:val="0"/>
                  <w:divBdr>
                    <w:top w:val="none" w:sz="0" w:space="0" w:color="auto"/>
                    <w:left w:val="none" w:sz="0" w:space="0" w:color="auto"/>
                    <w:bottom w:val="none" w:sz="0" w:space="0" w:color="auto"/>
                    <w:right w:val="none" w:sz="0" w:space="0" w:color="auto"/>
                  </w:divBdr>
                  <w:divsChild>
                    <w:div w:id="1185363302">
                      <w:marLeft w:val="0"/>
                      <w:marRight w:val="0"/>
                      <w:marTop w:val="0"/>
                      <w:marBottom w:val="0"/>
                      <w:divBdr>
                        <w:top w:val="none" w:sz="0" w:space="0" w:color="auto"/>
                        <w:left w:val="none" w:sz="0" w:space="0" w:color="auto"/>
                        <w:bottom w:val="none" w:sz="0" w:space="0" w:color="auto"/>
                        <w:right w:val="none" w:sz="0" w:space="0" w:color="auto"/>
                      </w:divBdr>
                      <w:divsChild>
                        <w:div w:id="1989245475">
                          <w:marLeft w:val="0"/>
                          <w:marRight w:val="0"/>
                          <w:marTop w:val="0"/>
                          <w:marBottom w:val="0"/>
                          <w:divBdr>
                            <w:top w:val="none" w:sz="0" w:space="0" w:color="auto"/>
                            <w:left w:val="none" w:sz="0" w:space="0" w:color="auto"/>
                            <w:bottom w:val="none" w:sz="0" w:space="0" w:color="auto"/>
                            <w:right w:val="none" w:sz="0" w:space="0" w:color="auto"/>
                          </w:divBdr>
                          <w:divsChild>
                            <w:div w:id="1432510942">
                              <w:marLeft w:val="0"/>
                              <w:marRight w:val="0"/>
                              <w:marTop w:val="0"/>
                              <w:marBottom w:val="0"/>
                              <w:divBdr>
                                <w:top w:val="none" w:sz="0" w:space="0" w:color="auto"/>
                                <w:left w:val="none" w:sz="0" w:space="0" w:color="auto"/>
                                <w:bottom w:val="none" w:sz="0" w:space="0" w:color="auto"/>
                                <w:right w:val="none" w:sz="0" w:space="0" w:color="auto"/>
                              </w:divBdr>
                            </w:div>
                            <w:div w:id="962463527">
                              <w:marLeft w:val="0"/>
                              <w:marRight w:val="0"/>
                              <w:marTop w:val="0"/>
                              <w:marBottom w:val="0"/>
                              <w:divBdr>
                                <w:top w:val="none" w:sz="0" w:space="0" w:color="auto"/>
                                <w:left w:val="none" w:sz="0" w:space="0" w:color="auto"/>
                                <w:bottom w:val="none" w:sz="0" w:space="0" w:color="auto"/>
                                <w:right w:val="none" w:sz="0" w:space="0" w:color="auto"/>
                              </w:divBdr>
                            </w:div>
                          </w:divsChild>
                        </w:div>
                        <w:div w:id="1340306506">
                          <w:marLeft w:val="0"/>
                          <w:marRight w:val="0"/>
                          <w:marTop w:val="0"/>
                          <w:marBottom w:val="0"/>
                          <w:divBdr>
                            <w:top w:val="none" w:sz="0" w:space="0" w:color="auto"/>
                            <w:left w:val="none" w:sz="0" w:space="0" w:color="auto"/>
                            <w:bottom w:val="none" w:sz="0" w:space="0" w:color="auto"/>
                            <w:right w:val="none" w:sz="0" w:space="0" w:color="auto"/>
                          </w:divBdr>
                          <w:divsChild>
                            <w:div w:id="843521478">
                              <w:marLeft w:val="0"/>
                              <w:marRight w:val="0"/>
                              <w:marTop w:val="0"/>
                              <w:marBottom w:val="0"/>
                              <w:divBdr>
                                <w:top w:val="none" w:sz="0" w:space="0" w:color="auto"/>
                                <w:left w:val="none" w:sz="0" w:space="0" w:color="auto"/>
                                <w:bottom w:val="none" w:sz="0" w:space="0" w:color="auto"/>
                                <w:right w:val="none" w:sz="0" w:space="0" w:color="auto"/>
                              </w:divBdr>
                            </w:div>
                          </w:divsChild>
                        </w:div>
                        <w:div w:id="630983122">
                          <w:marLeft w:val="0"/>
                          <w:marRight w:val="0"/>
                          <w:marTop w:val="0"/>
                          <w:marBottom w:val="0"/>
                          <w:divBdr>
                            <w:top w:val="none" w:sz="0" w:space="0" w:color="auto"/>
                            <w:left w:val="none" w:sz="0" w:space="0" w:color="auto"/>
                            <w:bottom w:val="none" w:sz="0" w:space="0" w:color="auto"/>
                            <w:right w:val="none" w:sz="0" w:space="0" w:color="auto"/>
                          </w:divBdr>
                          <w:divsChild>
                            <w:div w:id="1854958177">
                              <w:marLeft w:val="0"/>
                              <w:marRight w:val="0"/>
                              <w:marTop w:val="0"/>
                              <w:marBottom w:val="0"/>
                              <w:divBdr>
                                <w:top w:val="none" w:sz="0" w:space="0" w:color="auto"/>
                                <w:left w:val="none" w:sz="0" w:space="0" w:color="auto"/>
                                <w:bottom w:val="none" w:sz="0" w:space="0" w:color="auto"/>
                                <w:right w:val="none" w:sz="0" w:space="0" w:color="auto"/>
                              </w:divBdr>
                            </w:div>
                          </w:divsChild>
                        </w:div>
                        <w:div w:id="1454245870">
                          <w:marLeft w:val="0"/>
                          <w:marRight w:val="0"/>
                          <w:marTop w:val="0"/>
                          <w:marBottom w:val="0"/>
                          <w:divBdr>
                            <w:top w:val="none" w:sz="0" w:space="0" w:color="auto"/>
                            <w:left w:val="none" w:sz="0" w:space="0" w:color="auto"/>
                            <w:bottom w:val="none" w:sz="0" w:space="0" w:color="auto"/>
                            <w:right w:val="none" w:sz="0" w:space="0" w:color="auto"/>
                          </w:divBdr>
                          <w:divsChild>
                            <w:div w:id="920219638">
                              <w:marLeft w:val="0"/>
                              <w:marRight w:val="0"/>
                              <w:marTop w:val="0"/>
                              <w:marBottom w:val="0"/>
                              <w:divBdr>
                                <w:top w:val="none" w:sz="0" w:space="0" w:color="auto"/>
                                <w:left w:val="none" w:sz="0" w:space="0" w:color="auto"/>
                                <w:bottom w:val="none" w:sz="0" w:space="0" w:color="auto"/>
                                <w:right w:val="none" w:sz="0" w:space="0" w:color="auto"/>
                              </w:divBdr>
                            </w:div>
                          </w:divsChild>
                        </w:div>
                        <w:div w:id="781916551">
                          <w:marLeft w:val="0"/>
                          <w:marRight w:val="0"/>
                          <w:marTop w:val="0"/>
                          <w:marBottom w:val="0"/>
                          <w:divBdr>
                            <w:top w:val="none" w:sz="0" w:space="0" w:color="auto"/>
                            <w:left w:val="none" w:sz="0" w:space="0" w:color="auto"/>
                            <w:bottom w:val="none" w:sz="0" w:space="0" w:color="auto"/>
                            <w:right w:val="none" w:sz="0" w:space="0" w:color="auto"/>
                          </w:divBdr>
                          <w:divsChild>
                            <w:div w:id="915630315">
                              <w:marLeft w:val="0"/>
                              <w:marRight w:val="0"/>
                              <w:marTop w:val="0"/>
                              <w:marBottom w:val="0"/>
                              <w:divBdr>
                                <w:top w:val="none" w:sz="0" w:space="0" w:color="auto"/>
                                <w:left w:val="none" w:sz="0" w:space="0" w:color="auto"/>
                                <w:bottom w:val="none" w:sz="0" w:space="0" w:color="auto"/>
                                <w:right w:val="none" w:sz="0" w:space="0" w:color="auto"/>
                              </w:divBdr>
                            </w:div>
                          </w:divsChild>
                        </w:div>
                        <w:div w:id="239146593">
                          <w:marLeft w:val="0"/>
                          <w:marRight w:val="0"/>
                          <w:marTop w:val="0"/>
                          <w:marBottom w:val="0"/>
                          <w:divBdr>
                            <w:top w:val="none" w:sz="0" w:space="0" w:color="auto"/>
                            <w:left w:val="none" w:sz="0" w:space="0" w:color="auto"/>
                            <w:bottom w:val="none" w:sz="0" w:space="0" w:color="auto"/>
                            <w:right w:val="none" w:sz="0" w:space="0" w:color="auto"/>
                          </w:divBdr>
                          <w:divsChild>
                            <w:div w:id="1560284361">
                              <w:marLeft w:val="0"/>
                              <w:marRight w:val="0"/>
                              <w:marTop w:val="0"/>
                              <w:marBottom w:val="0"/>
                              <w:divBdr>
                                <w:top w:val="none" w:sz="0" w:space="0" w:color="auto"/>
                                <w:left w:val="none" w:sz="0" w:space="0" w:color="auto"/>
                                <w:bottom w:val="none" w:sz="0" w:space="0" w:color="auto"/>
                                <w:right w:val="none" w:sz="0" w:space="0" w:color="auto"/>
                              </w:divBdr>
                            </w:div>
                          </w:divsChild>
                        </w:div>
                        <w:div w:id="1969161994">
                          <w:marLeft w:val="0"/>
                          <w:marRight w:val="0"/>
                          <w:marTop w:val="0"/>
                          <w:marBottom w:val="0"/>
                          <w:divBdr>
                            <w:top w:val="none" w:sz="0" w:space="0" w:color="auto"/>
                            <w:left w:val="none" w:sz="0" w:space="0" w:color="auto"/>
                            <w:bottom w:val="none" w:sz="0" w:space="0" w:color="auto"/>
                            <w:right w:val="none" w:sz="0" w:space="0" w:color="auto"/>
                          </w:divBdr>
                          <w:divsChild>
                            <w:div w:id="522287289">
                              <w:marLeft w:val="0"/>
                              <w:marRight w:val="0"/>
                              <w:marTop w:val="0"/>
                              <w:marBottom w:val="0"/>
                              <w:divBdr>
                                <w:top w:val="none" w:sz="0" w:space="0" w:color="auto"/>
                                <w:left w:val="none" w:sz="0" w:space="0" w:color="auto"/>
                                <w:bottom w:val="none" w:sz="0" w:space="0" w:color="auto"/>
                                <w:right w:val="none" w:sz="0" w:space="0" w:color="auto"/>
                              </w:divBdr>
                            </w:div>
                          </w:divsChild>
                        </w:div>
                        <w:div w:id="1424497676">
                          <w:marLeft w:val="0"/>
                          <w:marRight w:val="0"/>
                          <w:marTop w:val="0"/>
                          <w:marBottom w:val="0"/>
                          <w:divBdr>
                            <w:top w:val="none" w:sz="0" w:space="0" w:color="auto"/>
                            <w:left w:val="none" w:sz="0" w:space="0" w:color="auto"/>
                            <w:bottom w:val="none" w:sz="0" w:space="0" w:color="auto"/>
                            <w:right w:val="none" w:sz="0" w:space="0" w:color="auto"/>
                          </w:divBdr>
                          <w:divsChild>
                            <w:div w:id="406877895">
                              <w:marLeft w:val="0"/>
                              <w:marRight w:val="0"/>
                              <w:marTop w:val="0"/>
                              <w:marBottom w:val="0"/>
                              <w:divBdr>
                                <w:top w:val="none" w:sz="0" w:space="0" w:color="auto"/>
                                <w:left w:val="none" w:sz="0" w:space="0" w:color="auto"/>
                                <w:bottom w:val="none" w:sz="0" w:space="0" w:color="auto"/>
                                <w:right w:val="none" w:sz="0" w:space="0" w:color="auto"/>
                              </w:divBdr>
                            </w:div>
                          </w:divsChild>
                        </w:div>
                        <w:div w:id="456686043">
                          <w:marLeft w:val="0"/>
                          <w:marRight w:val="0"/>
                          <w:marTop w:val="0"/>
                          <w:marBottom w:val="0"/>
                          <w:divBdr>
                            <w:top w:val="none" w:sz="0" w:space="0" w:color="auto"/>
                            <w:left w:val="none" w:sz="0" w:space="0" w:color="auto"/>
                            <w:bottom w:val="none" w:sz="0" w:space="0" w:color="auto"/>
                            <w:right w:val="none" w:sz="0" w:space="0" w:color="auto"/>
                          </w:divBdr>
                          <w:divsChild>
                            <w:div w:id="373890314">
                              <w:marLeft w:val="0"/>
                              <w:marRight w:val="0"/>
                              <w:marTop w:val="0"/>
                              <w:marBottom w:val="0"/>
                              <w:divBdr>
                                <w:top w:val="none" w:sz="0" w:space="0" w:color="auto"/>
                                <w:left w:val="none" w:sz="0" w:space="0" w:color="auto"/>
                                <w:bottom w:val="none" w:sz="0" w:space="0" w:color="auto"/>
                                <w:right w:val="none" w:sz="0" w:space="0" w:color="auto"/>
                              </w:divBdr>
                            </w:div>
                          </w:divsChild>
                        </w:div>
                        <w:div w:id="990988178">
                          <w:marLeft w:val="0"/>
                          <w:marRight w:val="0"/>
                          <w:marTop w:val="0"/>
                          <w:marBottom w:val="0"/>
                          <w:divBdr>
                            <w:top w:val="none" w:sz="0" w:space="0" w:color="auto"/>
                            <w:left w:val="none" w:sz="0" w:space="0" w:color="auto"/>
                            <w:bottom w:val="none" w:sz="0" w:space="0" w:color="auto"/>
                            <w:right w:val="none" w:sz="0" w:space="0" w:color="auto"/>
                          </w:divBdr>
                          <w:divsChild>
                            <w:div w:id="1646815701">
                              <w:marLeft w:val="0"/>
                              <w:marRight w:val="0"/>
                              <w:marTop w:val="0"/>
                              <w:marBottom w:val="0"/>
                              <w:divBdr>
                                <w:top w:val="none" w:sz="0" w:space="0" w:color="auto"/>
                                <w:left w:val="none" w:sz="0" w:space="0" w:color="auto"/>
                                <w:bottom w:val="none" w:sz="0" w:space="0" w:color="auto"/>
                                <w:right w:val="none" w:sz="0" w:space="0" w:color="auto"/>
                              </w:divBdr>
                            </w:div>
                          </w:divsChild>
                        </w:div>
                        <w:div w:id="1697659236">
                          <w:marLeft w:val="0"/>
                          <w:marRight w:val="0"/>
                          <w:marTop w:val="0"/>
                          <w:marBottom w:val="0"/>
                          <w:divBdr>
                            <w:top w:val="none" w:sz="0" w:space="0" w:color="auto"/>
                            <w:left w:val="none" w:sz="0" w:space="0" w:color="auto"/>
                            <w:bottom w:val="none" w:sz="0" w:space="0" w:color="auto"/>
                            <w:right w:val="none" w:sz="0" w:space="0" w:color="auto"/>
                          </w:divBdr>
                          <w:divsChild>
                            <w:div w:id="1101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 w:id="2027095681">
      <w:bodyDiv w:val="1"/>
      <w:marLeft w:val="0"/>
      <w:marRight w:val="0"/>
      <w:marTop w:val="0"/>
      <w:marBottom w:val="0"/>
      <w:divBdr>
        <w:top w:val="none" w:sz="0" w:space="0" w:color="auto"/>
        <w:left w:val="none" w:sz="0" w:space="0" w:color="auto"/>
        <w:bottom w:val="none" w:sz="0" w:space="0" w:color="auto"/>
        <w:right w:val="none" w:sz="0" w:space="0" w:color="auto"/>
      </w:divBdr>
      <w:divsChild>
        <w:div w:id="1644119077">
          <w:marLeft w:val="0"/>
          <w:marRight w:val="0"/>
          <w:marTop w:val="0"/>
          <w:marBottom w:val="0"/>
          <w:divBdr>
            <w:top w:val="none" w:sz="0" w:space="0" w:color="auto"/>
            <w:left w:val="none" w:sz="0" w:space="0" w:color="auto"/>
            <w:bottom w:val="none" w:sz="0" w:space="0" w:color="auto"/>
            <w:right w:val="none" w:sz="0" w:space="0" w:color="auto"/>
          </w:divBdr>
        </w:div>
        <w:div w:id="13527571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index.html?agentie=Teleorma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D23E-721D-4B78-9A7F-770CF199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47</TotalTime>
  <Pages>1</Pages>
  <Words>446</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2984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6</cp:revision>
  <cp:lastPrinted>2022-09-09T05:36:00Z</cp:lastPrinted>
  <dcterms:created xsi:type="dcterms:W3CDTF">2022-09-22T12:32:00Z</dcterms:created>
  <dcterms:modified xsi:type="dcterms:W3CDTF">2022-10-06T06:38:00Z</dcterms:modified>
</cp:coreProperties>
</file>