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E363B1" w:rsidP="001D3074">
      <w:pPr>
        <w:tabs>
          <w:tab w:val="left" w:pos="3080"/>
        </w:tabs>
        <w:spacing w:after="0"/>
        <w:ind w:left="0" w:right="63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29.02</w:t>
      </w:r>
      <w:r w:rsidR="004934E6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A47041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Pr="00026C8B" w:rsidRDefault="0043404F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43404F" w:rsidRDefault="0043404F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Pr="0043404F" w:rsidRDefault="0043404F" w:rsidP="0043404F">
      <w:pPr>
        <w:tabs>
          <w:tab w:val="left" w:pos="360"/>
        </w:tabs>
        <w:spacing w:after="0"/>
        <w:ind w:left="0" w:right="63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>0,</w:t>
      </w:r>
      <w:r w:rsidR="007C5409">
        <w:rPr>
          <w:rFonts w:ascii="Times New Roman" w:hAnsi="Times New Roman"/>
          <w:b/>
          <w:bCs/>
          <w:sz w:val="24"/>
          <w:szCs w:val="24"/>
          <w:lang w:val="af-ZA" w:eastAsia="ro-RO"/>
        </w:rPr>
        <w:t>4</w:t>
      </w:r>
      <w:r w:rsidR="004934E6">
        <w:rPr>
          <w:rFonts w:ascii="Times New Roman" w:hAnsi="Times New Roman"/>
          <w:b/>
          <w:bCs/>
          <w:sz w:val="24"/>
          <w:szCs w:val="24"/>
          <w:lang w:val="af-ZA" w:eastAsia="ro-RO"/>
        </w:rPr>
        <w:t>8</w:t>
      </w:r>
      <w:r w:rsidR="00011213">
        <w:rPr>
          <w:rFonts w:ascii="Times New Roman" w:hAnsi="Times New Roman"/>
          <w:b/>
          <w:bCs/>
          <w:sz w:val="24"/>
          <w:szCs w:val="24"/>
          <w:lang w:val="af-ZA" w:eastAsia="ro-RO"/>
        </w:rPr>
        <w:t>% - rata şomajului la nivelul județului</w:t>
      </w:r>
      <w:r w:rsidR="00CF623A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</w:t>
      </w:r>
      <w:r w:rsidR="007C5409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Ilfov la finalul lunii </w:t>
      </w:r>
      <w:r w:rsidR="00E363B1">
        <w:rPr>
          <w:rFonts w:ascii="Times New Roman" w:hAnsi="Times New Roman"/>
          <w:b/>
          <w:bCs/>
          <w:sz w:val="24"/>
          <w:szCs w:val="24"/>
          <w:lang w:val="af-ZA" w:eastAsia="ro-RO"/>
        </w:rPr>
        <w:t>ianuarie 2024</w:t>
      </w: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bookmarkStart w:id="0" w:name="_GoBack"/>
      <w:bookmarkEnd w:id="0"/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La finalul lunii </w:t>
      </w:r>
      <w:r w:rsidR="00E363B1">
        <w:rPr>
          <w:rFonts w:ascii="Times New Roman" w:hAnsi="Times New Roman"/>
          <w:bCs/>
          <w:sz w:val="24"/>
          <w:szCs w:val="24"/>
          <w:lang w:val="af-ZA" w:eastAsia="ro-RO"/>
        </w:rPr>
        <w:t>ianuarie 2024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, în evidențele Agenției Județene pentru Ocuparea Forței de M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>u</w:t>
      </w:r>
      <w:r w:rsidR="00E363B1">
        <w:rPr>
          <w:rFonts w:ascii="Times New Roman" w:hAnsi="Times New Roman"/>
          <w:bCs/>
          <w:sz w:val="24"/>
          <w:szCs w:val="24"/>
          <w:lang w:val="af-ZA" w:eastAsia="ro-RO"/>
        </w:rPr>
        <w:t>ncă Ilfov erau înregistrați 1001 șomeri (dintre care 594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sunt femei), rezu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>ltând o rată a șomajului de 0,48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%.</w:t>
      </w: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Din totalul șomerilor înregistrați în evidențel</w:t>
      </w:r>
      <w:r w:rsidR="00AB68B3">
        <w:rPr>
          <w:rFonts w:ascii="Times New Roman" w:hAnsi="Times New Roman"/>
          <w:bCs/>
          <w:sz w:val="24"/>
          <w:szCs w:val="24"/>
          <w:lang w:val="af-ZA" w:eastAsia="ro-RO"/>
        </w:rPr>
        <w:t xml:space="preserve">e A.J.O.F.M. Ilfov la 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 xml:space="preserve">finalul </w:t>
      </w:r>
      <w:r w:rsidR="00E363B1">
        <w:rPr>
          <w:rFonts w:ascii="Times New Roman" w:hAnsi="Times New Roman"/>
          <w:bCs/>
          <w:sz w:val="24"/>
          <w:szCs w:val="24"/>
          <w:lang w:val="af-ZA" w:eastAsia="ro-RO"/>
        </w:rPr>
        <w:t>lunii ianuarie 2024, 396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beneficiază de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 xml:space="preserve"> indemnizaţie de şomaj, iar 6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>0</w:t>
      </w:r>
      <w:r w:rsidR="00E363B1">
        <w:rPr>
          <w:rFonts w:ascii="Times New Roman" w:hAnsi="Times New Roman"/>
          <w:bCs/>
          <w:sz w:val="24"/>
          <w:szCs w:val="24"/>
          <w:lang w:val="af-ZA" w:eastAsia="ro-RO"/>
        </w:rPr>
        <w:t>5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sunt înregistrate ca șomeri neindemnizați.</w:t>
      </w:r>
    </w:p>
    <w:p w:rsidR="0043404F" w:rsidRPr="0043404F" w:rsidRDefault="007C5409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>În funcție de grupa de vârstă din care fac parte, șome</w:t>
      </w:r>
      <w:r w:rsidR="00E363B1">
        <w:rPr>
          <w:rFonts w:ascii="Times New Roman" w:hAnsi="Times New Roman"/>
          <w:bCs/>
          <w:sz w:val="24"/>
          <w:szCs w:val="24"/>
          <w:lang w:val="af-ZA" w:eastAsia="ro-RO"/>
        </w:rPr>
        <w:t>rii sunt repartizați astfel: 158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fac parte din g</w:t>
      </w:r>
      <w:r w:rsidR="00F65603">
        <w:rPr>
          <w:rFonts w:ascii="Times New Roman" w:hAnsi="Times New Roman"/>
          <w:bCs/>
          <w:sz w:val="24"/>
          <w:szCs w:val="24"/>
          <w:lang w:val="af-ZA" w:eastAsia="ro-RO"/>
        </w:rPr>
        <w:t xml:space="preserve">rupa de vârstă </w:t>
      </w:r>
      <w:r w:rsidR="00E363B1">
        <w:rPr>
          <w:rFonts w:ascii="Times New Roman" w:hAnsi="Times New Roman"/>
          <w:bCs/>
          <w:sz w:val="24"/>
          <w:szCs w:val="24"/>
          <w:lang w:val="af-ZA" w:eastAsia="ro-RO"/>
        </w:rPr>
        <w:t>sub 25 de ani, 63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din g</w:t>
      </w:r>
      <w:r w:rsidR="00E363B1">
        <w:rPr>
          <w:rFonts w:ascii="Times New Roman" w:hAnsi="Times New Roman"/>
          <w:bCs/>
          <w:sz w:val="24"/>
          <w:szCs w:val="24"/>
          <w:lang w:val="af-ZA" w:eastAsia="ro-RO"/>
        </w:rPr>
        <w:t>rupa de vârstă 25-29 de ani, 131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de 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>persoane din g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rupa de vârstă </w:t>
      </w:r>
      <w:r w:rsidR="00E363B1">
        <w:rPr>
          <w:rFonts w:ascii="Times New Roman" w:hAnsi="Times New Roman"/>
          <w:bCs/>
          <w:sz w:val="24"/>
          <w:szCs w:val="24"/>
          <w:lang w:val="af-ZA" w:eastAsia="ro-RO"/>
        </w:rPr>
        <w:t>30-39 de ani, 235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de 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>persoane din g</w:t>
      </w:r>
      <w:r w:rsidR="00E363B1">
        <w:rPr>
          <w:rFonts w:ascii="Times New Roman" w:hAnsi="Times New Roman"/>
          <w:bCs/>
          <w:sz w:val="24"/>
          <w:szCs w:val="24"/>
          <w:lang w:val="af-ZA" w:eastAsia="ro-RO"/>
        </w:rPr>
        <w:t>rupa de vârstă 40-49 de ani, 192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din gru</w:t>
      </w:r>
      <w:r w:rsidR="00E363B1">
        <w:rPr>
          <w:rFonts w:ascii="Times New Roman" w:hAnsi="Times New Roman"/>
          <w:bCs/>
          <w:sz w:val="24"/>
          <w:szCs w:val="24"/>
          <w:lang w:val="af-ZA" w:eastAsia="ro-RO"/>
        </w:rPr>
        <w:t>pa de vârstă 50-55 de ani și 222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persoane din grupa de vârstă peste 55 de ani. </w:t>
      </w: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Din punctul de vedere al repartizării pe niveluri de instruire, ponderea cea mai mare o au șomerii cu studii primare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>,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 xml:space="preserve"> gimnaziale și profesionale (739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persoane), </w:t>
      </w:r>
      <w:r w:rsidR="00F65603">
        <w:rPr>
          <w:rFonts w:ascii="Times New Roman" w:hAnsi="Times New Roman"/>
          <w:bCs/>
          <w:sz w:val="24"/>
          <w:szCs w:val="24"/>
          <w:lang w:val="ro-RO" w:eastAsia="ro-RO"/>
        </w:rPr>
        <w:t xml:space="preserve">urmați de șomerii cu studii </w:t>
      </w:r>
      <w:r w:rsidR="00E363B1">
        <w:rPr>
          <w:rFonts w:ascii="Times New Roman" w:hAnsi="Times New Roman"/>
          <w:bCs/>
          <w:sz w:val="24"/>
          <w:szCs w:val="24"/>
          <w:lang w:val="ro-RO" w:eastAsia="ro-RO"/>
        </w:rPr>
        <w:t>liceale și postliceale (171</w:t>
      </w:r>
      <w:r w:rsidR="007C5409">
        <w:rPr>
          <w:rFonts w:ascii="Times New Roman" w:hAnsi="Times New Roman"/>
          <w:bCs/>
          <w:sz w:val="24"/>
          <w:szCs w:val="24"/>
          <w:lang w:val="ro-RO" w:eastAsia="ro-RO"/>
        </w:rPr>
        <w:t xml:space="preserve"> de persoane) ș</w:t>
      </w:r>
      <w:r w:rsidR="00E363B1">
        <w:rPr>
          <w:rFonts w:ascii="Times New Roman" w:hAnsi="Times New Roman"/>
          <w:bCs/>
          <w:sz w:val="24"/>
          <w:szCs w:val="24"/>
          <w:lang w:val="ro-RO" w:eastAsia="ro-RO"/>
        </w:rPr>
        <w:t>i de cei cu studii superioare (91</w:t>
      </w:r>
      <w:r w:rsidR="007C5409">
        <w:rPr>
          <w:rFonts w:ascii="Times New Roman" w:hAnsi="Times New Roman"/>
          <w:bCs/>
          <w:sz w:val="24"/>
          <w:szCs w:val="24"/>
          <w:lang w:val="ro-RO" w:eastAsia="ro-RO"/>
        </w:rPr>
        <w:t xml:space="preserve"> de </w:t>
      </w:r>
      <w:r w:rsidR="00F65603">
        <w:rPr>
          <w:rFonts w:ascii="Times New Roman" w:hAnsi="Times New Roman"/>
          <w:bCs/>
          <w:sz w:val="24"/>
          <w:szCs w:val="24"/>
          <w:lang w:val="ro-RO" w:eastAsia="ro-RO"/>
        </w:rPr>
        <w:t>persoane)</w:t>
      </w:r>
      <w:r w:rsidR="007C5409">
        <w:rPr>
          <w:rFonts w:ascii="Times New Roman" w:hAnsi="Times New Roman"/>
          <w:bCs/>
          <w:sz w:val="24"/>
          <w:szCs w:val="24"/>
          <w:lang w:val="ro-RO" w:eastAsia="ro-RO"/>
        </w:rPr>
        <w:t>.</w:t>
      </w:r>
    </w:p>
    <w:p w:rsidR="00F65603" w:rsidRDefault="00F65603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bCs/>
          <w:sz w:val="24"/>
          <w:szCs w:val="24"/>
          <w:lang w:val="ro-RO" w:eastAsia="ro-RO"/>
        </w:rPr>
        <w:tab/>
      </w:r>
    </w:p>
    <w:p w:rsidR="00F65603" w:rsidRDefault="00F65603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B931ED" w:rsidRPr="0043404F" w:rsidRDefault="00B931ED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P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>Compartimentul Comunicare</w:t>
      </w:r>
    </w:p>
    <w:p w:rsidR="00A47041" w:rsidRPr="00026C8B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>A.J.O.F.M. Ilfov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</w:p>
    <w:sectPr w:rsidR="00A47041" w:rsidRPr="00026C8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CA8" w:rsidRDefault="00093CA8" w:rsidP="00A47041">
      <w:pPr>
        <w:spacing w:after="0" w:line="240" w:lineRule="auto"/>
      </w:pPr>
      <w:r>
        <w:separator/>
      </w:r>
    </w:p>
  </w:endnote>
  <w:endnote w:type="continuationSeparator" w:id="0">
    <w:p w:rsidR="00093CA8" w:rsidRDefault="00093CA8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CA8" w:rsidRDefault="00093CA8" w:rsidP="00A47041">
      <w:pPr>
        <w:spacing w:after="0" w:line="240" w:lineRule="auto"/>
      </w:pPr>
      <w:r>
        <w:separator/>
      </w:r>
    </w:p>
  </w:footnote>
  <w:footnote w:type="continuationSeparator" w:id="0">
    <w:p w:rsidR="00093CA8" w:rsidRDefault="00093CA8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51" w:type="dxa"/>
      <w:tblInd w:w="-12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"/>
      <w:gridCol w:w="5002"/>
      <w:gridCol w:w="2790"/>
      <w:gridCol w:w="232"/>
      <w:gridCol w:w="2308"/>
      <w:gridCol w:w="578"/>
    </w:tblGrid>
    <w:tr w:rsidR="00A47041" w:rsidTr="00CD21C9">
      <w:trPr>
        <w:gridAfter w:val="1"/>
        <w:wAfter w:w="578" w:type="dxa"/>
      </w:trPr>
      <w:tc>
        <w:tcPr>
          <w:tcW w:w="8465" w:type="dxa"/>
          <w:gridSpan w:val="4"/>
          <w:shd w:val="clear" w:color="auto" w:fill="auto"/>
        </w:tcPr>
        <w:p w:rsidR="00A47041" w:rsidRPr="00B44471" w:rsidRDefault="00A47041" w:rsidP="00A4704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A47041" w:rsidRDefault="00A47041" w:rsidP="00A47041">
          <w:pPr>
            <w:pStyle w:val="MediumGrid21"/>
            <w:jc w:val="right"/>
          </w:pPr>
        </w:p>
      </w:tc>
    </w:tr>
    <w:tr w:rsidR="00A47041" w:rsidTr="00CD21C9">
      <w:trPr>
        <w:gridBefore w:val="1"/>
        <w:wBefore w:w="441" w:type="dxa"/>
      </w:trPr>
      <w:tc>
        <w:tcPr>
          <w:tcW w:w="5002" w:type="dxa"/>
          <w:shd w:val="clear" w:color="auto" w:fill="auto"/>
        </w:tcPr>
        <w:p w:rsidR="00A47041" w:rsidRPr="002D0CDC" w:rsidRDefault="00A47041" w:rsidP="00A47041">
          <w:pPr>
            <w:pStyle w:val="MediumGrid21"/>
            <w:rPr>
              <w:lang w:val="ro-RO"/>
            </w:rPr>
          </w:pPr>
          <w:r w:rsidRPr="00363DFA">
            <w:rPr>
              <w:noProof/>
            </w:rPr>
            <w:drawing>
              <wp:inline distT="0" distB="0" distL="0" distR="0">
                <wp:extent cx="3006725" cy="906780"/>
                <wp:effectExtent l="0" t="0" r="3175" b="762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672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A47041" w:rsidRDefault="00A47041" w:rsidP="00A4704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3"/>
          <w:shd w:val="clear" w:color="auto" w:fill="auto"/>
          <w:vAlign w:val="center"/>
        </w:tcPr>
        <w:p w:rsidR="00A47041" w:rsidRPr="002D0CDC" w:rsidRDefault="00A47041" w:rsidP="00A47041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-586740</wp:posOffset>
                </wp:positionV>
                <wp:extent cx="1017270" cy="581025"/>
                <wp:effectExtent l="0" t="0" r="0" b="9525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7041" w:rsidRDefault="00A47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11213"/>
    <w:rsid w:val="000171F2"/>
    <w:rsid w:val="000919F2"/>
    <w:rsid w:val="00093CA8"/>
    <w:rsid w:val="000C2185"/>
    <w:rsid w:val="00185773"/>
    <w:rsid w:val="001D3074"/>
    <w:rsid w:val="001D724D"/>
    <w:rsid w:val="002D2839"/>
    <w:rsid w:val="002F037C"/>
    <w:rsid w:val="003306EB"/>
    <w:rsid w:val="003637E4"/>
    <w:rsid w:val="0037120B"/>
    <w:rsid w:val="003D5F5E"/>
    <w:rsid w:val="0043404F"/>
    <w:rsid w:val="00465CB4"/>
    <w:rsid w:val="004934E6"/>
    <w:rsid w:val="00587AA8"/>
    <w:rsid w:val="007A600F"/>
    <w:rsid w:val="007C5409"/>
    <w:rsid w:val="007F6756"/>
    <w:rsid w:val="008B0C50"/>
    <w:rsid w:val="008D5236"/>
    <w:rsid w:val="008E1C36"/>
    <w:rsid w:val="008F55D6"/>
    <w:rsid w:val="0097537C"/>
    <w:rsid w:val="00A47041"/>
    <w:rsid w:val="00A91CAC"/>
    <w:rsid w:val="00AB68B3"/>
    <w:rsid w:val="00B37A5F"/>
    <w:rsid w:val="00B8238E"/>
    <w:rsid w:val="00B931ED"/>
    <w:rsid w:val="00C06A94"/>
    <w:rsid w:val="00C53EE4"/>
    <w:rsid w:val="00CF623A"/>
    <w:rsid w:val="00D97E34"/>
    <w:rsid w:val="00DF6C1B"/>
    <w:rsid w:val="00E26520"/>
    <w:rsid w:val="00E363B1"/>
    <w:rsid w:val="00E81062"/>
    <w:rsid w:val="00F65603"/>
    <w:rsid w:val="00F71DF2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ED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4</cp:revision>
  <cp:lastPrinted>2023-11-14T08:54:00Z</cp:lastPrinted>
  <dcterms:created xsi:type="dcterms:W3CDTF">2024-02-29T07:15:00Z</dcterms:created>
  <dcterms:modified xsi:type="dcterms:W3CDTF">2024-02-29T08:06:00Z</dcterms:modified>
</cp:coreProperties>
</file>