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41" w:rsidRPr="00026C8B" w:rsidRDefault="00CF623A" w:rsidP="00A47041">
      <w:pPr>
        <w:tabs>
          <w:tab w:val="left" w:pos="3080"/>
        </w:tabs>
        <w:spacing w:after="0"/>
        <w:ind w:left="0"/>
        <w:jc w:val="right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14.11</w:t>
      </w:r>
      <w:r w:rsidR="00A47041"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.2023</w:t>
      </w:r>
    </w:p>
    <w:p w:rsidR="00A47041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43404F" w:rsidRPr="00026C8B" w:rsidRDefault="0043404F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COMUNICAT DE PRESĂ</w:t>
      </w:r>
    </w:p>
    <w:p w:rsidR="0043404F" w:rsidRDefault="0043404F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43404F" w:rsidRPr="0043404F" w:rsidRDefault="0043404F" w:rsidP="0043404F">
      <w:pPr>
        <w:tabs>
          <w:tab w:val="left" w:pos="360"/>
        </w:tabs>
        <w:spacing w:after="0"/>
        <w:ind w:left="0" w:right="63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43404F">
        <w:rPr>
          <w:rFonts w:ascii="Times New Roman" w:hAnsi="Times New Roman"/>
          <w:b/>
          <w:bCs/>
          <w:sz w:val="24"/>
          <w:szCs w:val="24"/>
          <w:lang w:val="af-ZA" w:eastAsia="ro-RO"/>
        </w:rPr>
        <w:t>0,</w:t>
      </w:r>
      <w:r w:rsidR="00CF623A">
        <w:rPr>
          <w:rFonts w:ascii="Times New Roman" w:hAnsi="Times New Roman"/>
          <w:b/>
          <w:bCs/>
          <w:sz w:val="24"/>
          <w:szCs w:val="24"/>
          <w:lang w:val="af-ZA" w:eastAsia="ro-RO"/>
        </w:rPr>
        <w:t>47</w:t>
      </w:r>
      <w:r w:rsidR="00011213">
        <w:rPr>
          <w:rFonts w:ascii="Times New Roman" w:hAnsi="Times New Roman"/>
          <w:b/>
          <w:bCs/>
          <w:sz w:val="24"/>
          <w:szCs w:val="24"/>
          <w:lang w:val="af-ZA" w:eastAsia="ro-RO"/>
        </w:rPr>
        <w:t>% - rata şomajului la nivelul județului</w:t>
      </w:r>
      <w:r w:rsidR="00CF623A"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Ilfov la finalul lunii octombrie</w:t>
      </w:r>
      <w:r w:rsidRPr="0043404F"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2023</w:t>
      </w:r>
    </w:p>
    <w:p w:rsidR="0043404F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43404F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43404F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43404F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ab/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La finalul lunii </w:t>
      </w:r>
      <w:r w:rsidR="00CF623A">
        <w:rPr>
          <w:rFonts w:ascii="Times New Roman" w:hAnsi="Times New Roman"/>
          <w:bCs/>
          <w:sz w:val="24"/>
          <w:szCs w:val="24"/>
          <w:lang w:val="af-ZA" w:eastAsia="ro-RO"/>
        </w:rPr>
        <w:t>octombrie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2023, în evidențele Agenției Județene pentru Ocuparea Forței de M</w:t>
      </w:r>
      <w:r w:rsidR="00AB68B3">
        <w:rPr>
          <w:rFonts w:ascii="Times New Roman" w:hAnsi="Times New Roman"/>
          <w:bCs/>
          <w:sz w:val="24"/>
          <w:szCs w:val="24"/>
          <w:lang w:val="af-ZA" w:eastAsia="ro-RO"/>
        </w:rPr>
        <w:t>uncă Ilfov erau înregistrați 973 de șomeri (dintre care 576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sunt femei), rezu</w:t>
      </w:r>
      <w:r w:rsidR="00AB68B3">
        <w:rPr>
          <w:rFonts w:ascii="Times New Roman" w:hAnsi="Times New Roman"/>
          <w:bCs/>
          <w:sz w:val="24"/>
          <w:szCs w:val="24"/>
          <w:lang w:val="af-ZA" w:eastAsia="ro-RO"/>
        </w:rPr>
        <w:t>ltând o rată a șomajului de 0,47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>%.</w:t>
      </w:r>
    </w:p>
    <w:p w:rsidR="0043404F" w:rsidRPr="0043404F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Cs/>
          <w:sz w:val="24"/>
          <w:szCs w:val="24"/>
          <w:lang w:val="af-ZA" w:eastAsia="ro-RO"/>
        </w:rPr>
        <w:tab/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>Din totalul șomerilor înregistrați în evidențel</w:t>
      </w:r>
      <w:r w:rsidR="00AB68B3">
        <w:rPr>
          <w:rFonts w:ascii="Times New Roman" w:hAnsi="Times New Roman"/>
          <w:bCs/>
          <w:sz w:val="24"/>
          <w:szCs w:val="24"/>
          <w:lang w:val="af-ZA" w:eastAsia="ro-RO"/>
        </w:rPr>
        <w:t>e A.J.O.F.M. Ilfov la data de 31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</w:t>
      </w:r>
      <w:r w:rsidR="00AB68B3">
        <w:rPr>
          <w:rFonts w:ascii="Times New Roman" w:hAnsi="Times New Roman"/>
          <w:bCs/>
          <w:sz w:val="24"/>
          <w:szCs w:val="24"/>
          <w:lang w:val="af-ZA" w:eastAsia="ro-RO"/>
        </w:rPr>
        <w:t xml:space="preserve">octombrie </w:t>
      </w:r>
      <w:r w:rsidR="00F65603">
        <w:rPr>
          <w:rFonts w:ascii="Times New Roman" w:hAnsi="Times New Roman"/>
          <w:bCs/>
          <w:sz w:val="24"/>
          <w:szCs w:val="24"/>
          <w:lang w:val="af-ZA" w:eastAsia="ro-RO"/>
        </w:rPr>
        <w:t>2023, 322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de persoane beneficiază de</w:t>
      </w:r>
      <w:r w:rsidR="00F65603">
        <w:rPr>
          <w:rFonts w:ascii="Times New Roman" w:hAnsi="Times New Roman"/>
          <w:bCs/>
          <w:sz w:val="24"/>
          <w:szCs w:val="24"/>
          <w:lang w:val="af-ZA" w:eastAsia="ro-RO"/>
        </w:rPr>
        <w:t xml:space="preserve"> indemnizaţie de şomaj, iar 651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sunt înregistrate ca șomeri neindemnizați.</w:t>
      </w:r>
    </w:p>
    <w:p w:rsidR="0043404F" w:rsidRPr="0043404F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Cs/>
          <w:sz w:val="24"/>
          <w:szCs w:val="24"/>
          <w:lang w:val="af-ZA" w:eastAsia="ro-RO"/>
        </w:rPr>
        <w:tab/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>În funcție de grupa de vârstă din care fac parte, șomerii sunt repartizați astfel: 190 de persoane fac parte din g</w:t>
      </w:r>
      <w:r w:rsidR="00F65603">
        <w:rPr>
          <w:rFonts w:ascii="Times New Roman" w:hAnsi="Times New Roman"/>
          <w:bCs/>
          <w:sz w:val="24"/>
          <w:szCs w:val="24"/>
          <w:lang w:val="af-ZA" w:eastAsia="ro-RO"/>
        </w:rPr>
        <w:t>rupa de vârstă sub 25 de ani, 52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de persoane din g</w:t>
      </w:r>
      <w:r w:rsidR="00F65603">
        <w:rPr>
          <w:rFonts w:ascii="Times New Roman" w:hAnsi="Times New Roman"/>
          <w:bCs/>
          <w:sz w:val="24"/>
          <w:szCs w:val="24"/>
          <w:lang w:val="af-ZA" w:eastAsia="ro-RO"/>
        </w:rPr>
        <w:t>rupa de vârstă 25-29 de ani, 122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persoane din g</w:t>
      </w:r>
      <w:r w:rsidR="00F65603">
        <w:rPr>
          <w:rFonts w:ascii="Times New Roman" w:hAnsi="Times New Roman"/>
          <w:bCs/>
          <w:sz w:val="24"/>
          <w:szCs w:val="24"/>
          <w:lang w:val="af-ZA" w:eastAsia="ro-RO"/>
        </w:rPr>
        <w:t>rupa de vârstă 30-39 de ani, 226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persoane din g</w:t>
      </w:r>
      <w:r w:rsidR="00F65603">
        <w:rPr>
          <w:rFonts w:ascii="Times New Roman" w:hAnsi="Times New Roman"/>
          <w:bCs/>
          <w:sz w:val="24"/>
          <w:szCs w:val="24"/>
          <w:lang w:val="af-ZA" w:eastAsia="ro-RO"/>
        </w:rPr>
        <w:t>rupa de vârstă 40-49 de ani, 191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de persoane din gru</w:t>
      </w:r>
      <w:r w:rsidR="00F65603">
        <w:rPr>
          <w:rFonts w:ascii="Times New Roman" w:hAnsi="Times New Roman"/>
          <w:bCs/>
          <w:sz w:val="24"/>
          <w:szCs w:val="24"/>
          <w:lang w:val="af-ZA" w:eastAsia="ro-RO"/>
        </w:rPr>
        <w:t>pa de vârstă 50-55 de ani și 192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de persoane din grupa de vârstă peste 55 de ani. </w:t>
      </w:r>
      <w:bookmarkStart w:id="0" w:name="_GoBack"/>
      <w:bookmarkEnd w:id="0"/>
    </w:p>
    <w:p w:rsidR="0043404F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Cs/>
          <w:sz w:val="24"/>
          <w:szCs w:val="24"/>
          <w:lang w:val="ro-RO" w:eastAsia="ro-RO"/>
        </w:rPr>
      </w:pPr>
      <w:r>
        <w:rPr>
          <w:rFonts w:ascii="Times New Roman" w:hAnsi="Times New Roman"/>
          <w:bCs/>
          <w:sz w:val="24"/>
          <w:szCs w:val="24"/>
          <w:lang w:val="af-ZA" w:eastAsia="ro-RO"/>
        </w:rPr>
        <w:tab/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>Din punctul de vedere al repartizării pe niveluri de instruire, ponderea cea mai mare o au șomerii cu studii primare</w:t>
      </w:r>
      <w:r w:rsidR="00F65603">
        <w:rPr>
          <w:rFonts w:ascii="Times New Roman" w:hAnsi="Times New Roman"/>
          <w:bCs/>
          <w:sz w:val="24"/>
          <w:szCs w:val="24"/>
          <w:lang w:val="af-ZA" w:eastAsia="ro-RO"/>
        </w:rPr>
        <w:t xml:space="preserve"> </w:t>
      </w:r>
      <w:r w:rsidR="00F65603">
        <w:rPr>
          <w:rFonts w:ascii="Times New Roman" w:hAnsi="Times New Roman"/>
          <w:bCs/>
          <w:sz w:val="24"/>
          <w:szCs w:val="24"/>
          <w:lang w:val="ro-RO" w:eastAsia="ro-RO"/>
        </w:rPr>
        <w:t>și fără studii (371 de persoane), urmați de șomerii cu studii gimnaziale (263 de persoane), liceale (173 de persoane), profesionale (79 de persoane), superioare (79 de persoane) și postliceale (8 persoane).</w:t>
      </w:r>
    </w:p>
    <w:p w:rsidR="00F65603" w:rsidRDefault="00F65603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Cs/>
          <w:sz w:val="24"/>
          <w:szCs w:val="24"/>
          <w:lang w:val="ro-RO" w:eastAsia="ro-RO"/>
        </w:rPr>
      </w:pPr>
      <w:r>
        <w:rPr>
          <w:rFonts w:ascii="Times New Roman" w:hAnsi="Times New Roman"/>
          <w:bCs/>
          <w:sz w:val="24"/>
          <w:szCs w:val="24"/>
          <w:lang w:val="ro-RO" w:eastAsia="ro-RO"/>
        </w:rPr>
        <w:tab/>
      </w:r>
    </w:p>
    <w:p w:rsidR="00F65603" w:rsidRDefault="00F65603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B931ED" w:rsidRPr="0043404F" w:rsidRDefault="00B931ED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43404F" w:rsidRPr="0043404F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43404F">
        <w:rPr>
          <w:rFonts w:ascii="Times New Roman" w:hAnsi="Times New Roman"/>
          <w:b/>
          <w:bCs/>
          <w:sz w:val="24"/>
          <w:szCs w:val="24"/>
          <w:lang w:val="af-ZA" w:eastAsia="ro-RO"/>
        </w:rPr>
        <w:t>Compartimentul Comunicare</w:t>
      </w:r>
    </w:p>
    <w:p w:rsidR="00A47041" w:rsidRPr="00026C8B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43404F">
        <w:rPr>
          <w:rFonts w:ascii="Times New Roman" w:hAnsi="Times New Roman"/>
          <w:b/>
          <w:bCs/>
          <w:sz w:val="24"/>
          <w:szCs w:val="24"/>
          <w:lang w:val="af-ZA" w:eastAsia="ro-RO"/>
        </w:rPr>
        <w:t>A.J.O.F.M. Ilfov</w:t>
      </w:r>
      <w:r w:rsidR="00A47041"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  </w:t>
      </w:r>
    </w:p>
    <w:p w:rsidR="00A47041" w:rsidRPr="00026C8B" w:rsidRDefault="00A47041" w:rsidP="00C53EE4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sz w:val="24"/>
          <w:szCs w:val="24"/>
          <w:lang w:val="af-ZA"/>
        </w:rPr>
      </w:pPr>
    </w:p>
    <w:sectPr w:rsidR="00A47041" w:rsidRPr="00026C8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C36" w:rsidRDefault="008E1C36" w:rsidP="00A47041">
      <w:pPr>
        <w:spacing w:after="0" w:line="240" w:lineRule="auto"/>
      </w:pPr>
      <w:r>
        <w:separator/>
      </w:r>
    </w:p>
  </w:endnote>
  <w:endnote w:type="continuationSeparator" w:id="0">
    <w:p w:rsidR="008E1C36" w:rsidRDefault="008E1C36" w:rsidP="00A4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C36" w:rsidRDefault="008E1C36" w:rsidP="00A47041">
      <w:pPr>
        <w:spacing w:after="0" w:line="240" w:lineRule="auto"/>
      </w:pPr>
      <w:r>
        <w:separator/>
      </w:r>
    </w:p>
  </w:footnote>
  <w:footnote w:type="continuationSeparator" w:id="0">
    <w:p w:rsidR="008E1C36" w:rsidRDefault="008E1C36" w:rsidP="00A4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51" w:type="dxa"/>
      <w:tblInd w:w="-124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1"/>
      <w:gridCol w:w="5002"/>
      <w:gridCol w:w="2790"/>
      <w:gridCol w:w="232"/>
      <w:gridCol w:w="2308"/>
      <w:gridCol w:w="578"/>
    </w:tblGrid>
    <w:tr w:rsidR="00A47041" w:rsidTr="00CD21C9">
      <w:trPr>
        <w:gridAfter w:val="1"/>
        <w:wAfter w:w="578" w:type="dxa"/>
      </w:trPr>
      <w:tc>
        <w:tcPr>
          <w:tcW w:w="8465" w:type="dxa"/>
          <w:gridSpan w:val="4"/>
          <w:shd w:val="clear" w:color="auto" w:fill="auto"/>
        </w:tcPr>
        <w:p w:rsidR="00A47041" w:rsidRPr="00B44471" w:rsidRDefault="00A47041" w:rsidP="00A47041">
          <w:pPr>
            <w:pStyle w:val="MediumGrid21"/>
            <w:rPr>
              <w:lang w:val="ro-RO"/>
            </w:rPr>
          </w:pPr>
          <w:r>
            <w:rPr>
              <w:noProof/>
              <w:sz w:val="22"/>
              <w:szCs w:val="22"/>
              <w:lang w:val="ro-RO" w:eastAsia="ro-RO"/>
            </w:rPr>
            <w:t xml:space="preserve">            </w:t>
          </w:r>
        </w:p>
      </w:tc>
      <w:tc>
        <w:tcPr>
          <w:tcW w:w="2308" w:type="dxa"/>
          <w:shd w:val="clear" w:color="auto" w:fill="auto"/>
          <w:vAlign w:val="center"/>
        </w:tcPr>
        <w:p w:rsidR="00A47041" w:rsidRDefault="00A47041" w:rsidP="00A47041">
          <w:pPr>
            <w:pStyle w:val="MediumGrid21"/>
            <w:jc w:val="right"/>
          </w:pPr>
        </w:p>
      </w:tc>
    </w:tr>
    <w:tr w:rsidR="00A47041" w:rsidTr="00CD21C9">
      <w:trPr>
        <w:gridBefore w:val="1"/>
        <w:wBefore w:w="441" w:type="dxa"/>
      </w:trPr>
      <w:tc>
        <w:tcPr>
          <w:tcW w:w="5002" w:type="dxa"/>
          <w:shd w:val="clear" w:color="auto" w:fill="auto"/>
        </w:tcPr>
        <w:p w:rsidR="00A47041" w:rsidRPr="002D0CDC" w:rsidRDefault="00A47041" w:rsidP="00A47041">
          <w:pPr>
            <w:pStyle w:val="MediumGrid21"/>
            <w:rPr>
              <w:lang w:val="ro-RO"/>
            </w:rPr>
          </w:pPr>
          <w:r w:rsidRPr="00363DFA">
            <w:rPr>
              <w:noProof/>
            </w:rPr>
            <w:drawing>
              <wp:inline distT="0" distB="0" distL="0" distR="0">
                <wp:extent cx="3006725" cy="906780"/>
                <wp:effectExtent l="0" t="0" r="3175" b="762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6725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A47041" w:rsidRDefault="00A47041" w:rsidP="00A47041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gridSpan w:val="3"/>
          <w:shd w:val="clear" w:color="auto" w:fill="auto"/>
          <w:vAlign w:val="center"/>
        </w:tcPr>
        <w:p w:rsidR="00A47041" w:rsidRPr="002D0CDC" w:rsidRDefault="00A47041" w:rsidP="00A47041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531495</wp:posOffset>
                </wp:positionH>
                <wp:positionV relativeFrom="paragraph">
                  <wp:posOffset>-586740</wp:posOffset>
                </wp:positionV>
                <wp:extent cx="1017270" cy="581025"/>
                <wp:effectExtent l="0" t="0" r="0" b="9525"/>
                <wp:wrapTopAndBottom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27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47041" w:rsidRDefault="00A470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36"/>
    <w:rsid w:val="00011213"/>
    <w:rsid w:val="000171F2"/>
    <w:rsid w:val="000C2185"/>
    <w:rsid w:val="00185773"/>
    <w:rsid w:val="002D2839"/>
    <w:rsid w:val="002F037C"/>
    <w:rsid w:val="003306EB"/>
    <w:rsid w:val="003637E4"/>
    <w:rsid w:val="0037120B"/>
    <w:rsid w:val="003D5F5E"/>
    <w:rsid w:val="0043404F"/>
    <w:rsid w:val="00465CB4"/>
    <w:rsid w:val="007A600F"/>
    <w:rsid w:val="008B0C50"/>
    <w:rsid w:val="008D5236"/>
    <w:rsid w:val="008E1C36"/>
    <w:rsid w:val="0097537C"/>
    <w:rsid w:val="00A47041"/>
    <w:rsid w:val="00A91CAC"/>
    <w:rsid w:val="00AB68B3"/>
    <w:rsid w:val="00B8238E"/>
    <w:rsid w:val="00B931ED"/>
    <w:rsid w:val="00C06A94"/>
    <w:rsid w:val="00C53EE4"/>
    <w:rsid w:val="00CF623A"/>
    <w:rsid w:val="00DF6C1B"/>
    <w:rsid w:val="00E26520"/>
    <w:rsid w:val="00E81062"/>
    <w:rsid w:val="00F65603"/>
    <w:rsid w:val="00F71DF2"/>
    <w:rsid w:val="00FD36D5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1A41B-26FE-4869-ABAC-B5A45FD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41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7041"/>
    <w:rPr>
      <w:color w:val="0000FF"/>
      <w:u w:val="single"/>
    </w:rPr>
  </w:style>
  <w:style w:type="character" w:customStyle="1" w:styleId="x193iq5w">
    <w:name w:val="x193iq5w"/>
    <w:basedOn w:val="DefaultParagraphFont"/>
    <w:rsid w:val="00A47041"/>
  </w:style>
  <w:style w:type="paragraph" w:styleId="Header">
    <w:name w:val="header"/>
    <w:basedOn w:val="Normal"/>
    <w:link w:val="Head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41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41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A47041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1ED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3</cp:revision>
  <cp:lastPrinted>2023-11-14T08:54:00Z</cp:lastPrinted>
  <dcterms:created xsi:type="dcterms:W3CDTF">2023-11-14T08:18:00Z</dcterms:created>
  <dcterms:modified xsi:type="dcterms:W3CDTF">2023-11-14T09:42:00Z</dcterms:modified>
</cp:coreProperties>
</file>