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3C63" w14:textId="319A8010" w:rsidR="00B826DD" w:rsidRDefault="00856A6F">
      <w:pPr>
        <w:ind w:left="720"/>
        <w:jc w:val="right"/>
        <w:rPr>
          <w:b/>
        </w:rPr>
      </w:pPr>
      <w:r>
        <w:rPr>
          <w:b/>
        </w:rPr>
        <w:t>martie</w:t>
      </w:r>
      <w:r w:rsidR="00567CA2">
        <w:rPr>
          <w:b/>
        </w:rPr>
        <w:t xml:space="preserve"> 2024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3F1AA9F9" w:rsidR="00B826DD" w:rsidRDefault="00567CA2">
      <w:pPr>
        <w:ind w:left="1440" w:right="538"/>
        <w:rPr>
          <w:b/>
        </w:rPr>
      </w:pPr>
      <w:r>
        <w:rPr>
          <w:b/>
        </w:rPr>
        <w:t xml:space="preserve">Convenții încheiate cu angajatorii pentru subvenționarea încadrării în muncă a șomerilor </w:t>
      </w:r>
      <w:r w:rsidR="008936AB">
        <w:rPr>
          <w:b/>
        </w:rPr>
        <w:t xml:space="preserve"> 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7AB122B7" w:rsidR="00B826DD" w:rsidRPr="002A19E4" w:rsidRDefault="00CB4340">
      <w:pPr>
        <w:ind w:left="1440"/>
        <w:rPr>
          <w:bCs/>
          <w:lang w:val="es-ES_tradnl"/>
        </w:rPr>
      </w:pPr>
      <w:r>
        <w:rPr>
          <w:bCs/>
        </w:rPr>
        <w:t xml:space="preserve">În </w:t>
      </w:r>
      <w:r w:rsidR="00567CA2">
        <w:rPr>
          <w:bCs/>
        </w:rPr>
        <w:t>lun</w:t>
      </w:r>
      <w:r w:rsidR="002A19E4">
        <w:rPr>
          <w:bCs/>
        </w:rPr>
        <w:t>ile</w:t>
      </w:r>
      <w:r w:rsidR="00567CA2">
        <w:rPr>
          <w:bCs/>
        </w:rPr>
        <w:t xml:space="preserve"> </w:t>
      </w:r>
      <w:r w:rsidR="002A19E4" w:rsidRPr="002A19E4">
        <w:rPr>
          <w:b/>
        </w:rPr>
        <w:t>ianuarie și</w:t>
      </w:r>
      <w:r w:rsidR="002A19E4">
        <w:rPr>
          <w:bCs/>
        </w:rPr>
        <w:t xml:space="preserve"> </w:t>
      </w:r>
      <w:r w:rsidR="00856A6F" w:rsidRPr="00856A6F">
        <w:rPr>
          <w:b/>
        </w:rPr>
        <w:t>febr</w:t>
      </w:r>
      <w:r w:rsidR="00567CA2" w:rsidRPr="00856A6F">
        <w:rPr>
          <w:b/>
        </w:rPr>
        <w:t xml:space="preserve">uarie </w:t>
      </w:r>
      <w:r w:rsidR="00567CA2" w:rsidRPr="00567CA2">
        <w:rPr>
          <w:b/>
        </w:rPr>
        <w:t>2024</w:t>
      </w:r>
      <w:r>
        <w:rPr>
          <w:bCs/>
        </w:rPr>
        <w:t xml:space="preserve">, AJOFM Harghita </w:t>
      </w:r>
      <w:r w:rsidR="008936AB">
        <w:rPr>
          <w:bCs/>
        </w:rPr>
        <w:t xml:space="preserve">a </w:t>
      </w:r>
      <w:r w:rsidR="0012042F">
        <w:rPr>
          <w:bCs/>
        </w:rPr>
        <w:t>încheiat</w:t>
      </w:r>
      <w:r w:rsidR="001808EC">
        <w:rPr>
          <w:bCs/>
        </w:rPr>
        <w:t xml:space="preserve"> </w:t>
      </w:r>
      <w:r w:rsidR="00567CA2">
        <w:rPr>
          <w:bCs/>
        </w:rPr>
        <w:t xml:space="preserve">un număr de </w:t>
      </w:r>
      <w:r w:rsidR="00482202">
        <w:rPr>
          <w:bCs/>
        </w:rPr>
        <w:t xml:space="preserve">270 de </w:t>
      </w:r>
      <w:r w:rsidR="00567CA2">
        <w:rPr>
          <w:bCs/>
        </w:rPr>
        <w:t>c</w:t>
      </w:r>
      <w:r w:rsidR="008936AB">
        <w:rPr>
          <w:bCs/>
        </w:rPr>
        <w:t>onvenții pentru acordarea subvențiilor pentru angajatorii care au încadrat în muncă persoane defavorizate pe piața muncii, aflate în evidența agenției</w:t>
      </w:r>
      <w:r w:rsidR="00567CA2">
        <w:rPr>
          <w:bCs/>
        </w:rPr>
        <w:t>. Cererile pentru subvenționarea locurilor de muncă sunt cele care au fost depuse de angajatori în perioada</w:t>
      </w:r>
      <w:r w:rsidR="00360785">
        <w:rPr>
          <w:bCs/>
        </w:rPr>
        <w:t xml:space="preserve"> </w:t>
      </w:r>
      <w:r w:rsidR="002A19E4">
        <w:rPr>
          <w:bCs/>
        </w:rPr>
        <w:t>23.03</w:t>
      </w:r>
      <w:r w:rsidR="00360785" w:rsidRPr="002A19E4">
        <w:rPr>
          <w:bCs/>
          <w:lang w:val="es-ES_tradnl"/>
        </w:rPr>
        <w:t>-</w:t>
      </w:r>
      <w:r w:rsidR="00856A6F" w:rsidRPr="002A19E4">
        <w:rPr>
          <w:bCs/>
          <w:lang w:val="es-ES_tradnl"/>
        </w:rPr>
        <w:t>21</w:t>
      </w:r>
      <w:r w:rsidR="00360785" w:rsidRPr="002A19E4">
        <w:rPr>
          <w:bCs/>
          <w:lang w:val="es-ES_tradnl"/>
        </w:rPr>
        <w:t>.0</w:t>
      </w:r>
      <w:r w:rsidR="00856A6F" w:rsidRPr="002A19E4">
        <w:rPr>
          <w:bCs/>
          <w:lang w:val="es-ES_tradnl"/>
        </w:rPr>
        <w:t>6</w:t>
      </w:r>
      <w:r w:rsidR="00360785" w:rsidRPr="002A19E4">
        <w:rPr>
          <w:bCs/>
          <w:lang w:val="es-ES_tradnl"/>
        </w:rPr>
        <w:t>.2023</w:t>
      </w:r>
      <w:r w:rsidR="002A19E4">
        <w:rPr>
          <w:bCs/>
          <w:lang w:val="es-ES_tradnl"/>
        </w:rPr>
        <w:t>.</w:t>
      </w:r>
    </w:p>
    <w:p w14:paraId="5DA04BB6" w14:textId="45152417" w:rsidR="0012042F" w:rsidRDefault="0012042F">
      <w:pPr>
        <w:ind w:left="1440"/>
        <w:rPr>
          <w:b/>
          <w:bCs/>
          <w:i/>
          <w:iCs/>
        </w:rPr>
      </w:pPr>
      <w:r>
        <w:rPr>
          <w:bCs/>
        </w:rPr>
        <w:t xml:space="preserve">Situația numărului de </w:t>
      </w:r>
      <w:r w:rsidR="004C613A">
        <w:rPr>
          <w:bCs/>
        </w:rPr>
        <w:t xml:space="preserve">persoane angajate prin </w:t>
      </w:r>
      <w:r w:rsidR="00A9351C">
        <w:rPr>
          <w:bCs/>
        </w:rPr>
        <w:t xml:space="preserve">subvenționarea încadrării în muncă, </w:t>
      </w:r>
      <w:r w:rsidR="0085165B">
        <w:rPr>
          <w:bCs/>
        </w:rPr>
        <w:t xml:space="preserve">pentru cererile menționate mai sus, </w:t>
      </w:r>
      <w:r>
        <w:rPr>
          <w:bCs/>
        </w:rPr>
        <w:t>pe categorii defavorizate</w:t>
      </w:r>
      <w:r w:rsidR="00A9351C">
        <w:rPr>
          <w:bCs/>
        </w:rPr>
        <w:t xml:space="preserve"> pe piața muncii</w:t>
      </w:r>
      <w:r>
        <w:rPr>
          <w:bCs/>
        </w:rPr>
        <w:t xml:space="preserve">, definite de Legea nr. 76/2002, </w:t>
      </w:r>
      <w:r w:rsidR="00A9351C" w:rsidRPr="00A9351C">
        <w:rPr>
          <w:b/>
          <w:bCs/>
          <w:i/>
          <w:iCs/>
        </w:rPr>
        <w:t>privind sistemul asigurărilor pentru şomaj şi stimularea ocupării forţei de muncă</w:t>
      </w:r>
      <w:r w:rsidR="00A9351C">
        <w:rPr>
          <w:b/>
          <w:bCs/>
          <w:i/>
          <w:iCs/>
        </w:rPr>
        <w:t>, cu modificările și completările ulterioare</w:t>
      </w:r>
      <w:r w:rsidR="00C83E93">
        <w:rPr>
          <w:b/>
          <w:bCs/>
          <w:i/>
          <w:iCs/>
        </w:rPr>
        <w:t xml:space="preserve">, </w:t>
      </w:r>
      <w:r w:rsidR="00C83E93" w:rsidRPr="00C83E93">
        <w:t>se prezintă astfel</w:t>
      </w:r>
      <w:r w:rsidR="00C83E93">
        <w:rPr>
          <w:b/>
          <w:bCs/>
          <w:i/>
          <w:iCs/>
        </w:rPr>
        <w:t xml:space="preserve"> </w:t>
      </w:r>
      <w:r w:rsidR="00A9351C">
        <w:rPr>
          <w:b/>
          <w:bCs/>
          <w:i/>
          <w:iCs/>
        </w:rPr>
        <w:t>:</w:t>
      </w:r>
    </w:p>
    <w:p w14:paraId="7B151789" w14:textId="77777777" w:rsidR="00C83E93" w:rsidRDefault="00C83E93">
      <w:pPr>
        <w:ind w:left="1440"/>
        <w:rPr>
          <w:b/>
          <w:bCs/>
          <w:i/>
          <w:i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2377"/>
        <w:gridCol w:w="2263"/>
      </w:tblGrid>
      <w:tr w:rsidR="0045528A" w14:paraId="2A33D28C" w14:textId="77777777" w:rsidTr="00C83E93">
        <w:tc>
          <w:tcPr>
            <w:tcW w:w="2377" w:type="dxa"/>
          </w:tcPr>
          <w:p w14:paraId="1A8042B5" w14:textId="3ADEA71A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Categorie</w:t>
            </w:r>
          </w:p>
        </w:tc>
        <w:tc>
          <w:tcPr>
            <w:tcW w:w="2263" w:type="dxa"/>
          </w:tcPr>
          <w:p w14:paraId="458BD7DF" w14:textId="7EAAD50E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 xml:space="preserve">Nr. </w:t>
            </w:r>
            <w:r w:rsidRPr="004B582B">
              <w:rPr>
                <w:b/>
              </w:rPr>
              <w:t>persoane</w:t>
            </w:r>
          </w:p>
        </w:tc>
      </w:tr>
      <w:tr w:rsidR="0045528A" w14:paraId="222B15F9" w14:textId="77777777" w:rsidTr="00C83E93">
        <w:tc>
          <w:tcPr>
            <w:tcW w:w="2377" w:type="dxa"/>
          </w:tcPr>
          <w:p w14:paraId="21210F44" w14:textId="23E1BB1C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Absolvenți</w:t>
            </w:r>
          </w:p>
        </w:tc>
        <w:tc>
          <w:tcPr>
            <w:tcW w:w="2263" w:type="dxa"/>
          </w:tcPr>
          <w:p w14:paraId="0C536558" w14:textId="5E100110" w:rsidR="0045528A" w:rsidRPr="004B582B" w:rsidRDefault="00360785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528A" w14:paraId="6E639607" w14:textId="77777777" w:rsidTr="00C83E93">
        <w:tc>
          <w:tcPr>
            <w:tcW w:w="2377" w:type="dxa"/>
          </w:tcPr>
          <w:p w14:paraId="69F6BDBB" w14:textId="0C205BAC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peste 45 de ani</w:t>
            </w:r>
          </w:p>
        </w:tc>
        <w:tc>
          <w:tcPr>
            <w:tcW w:w="2263" w:type="dxa"/>
          </w:tcPr>
          <w:p w14:paraId="39D9ABB1" w14:textId="45D37C2B" w:rsidR="0045528A" w:rsidRPr="004B582B" w:rsidRDefault="00856A6F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A19E4">
              <w:rPr>
                <w:bCs/>
              </w:rPr>
              <w:t>54</w:t>
            </w:r>
          </w:p>
        </w:tc>
      </w:tr>
      <w:tr w:rsidR="0045528A" w14:paraId="6DC612E8" w14:textId="77777777" w:rsidTr="00C83E93">
        <w:tc>
          <w:tcPr>
            <w:tcW w:w="2377" w:type="dxa"/>
          </w:tcPr>
          <w:p w14:paraId="7D7F8C2B" w14:textId="7525DBE9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cu handicap</w:t>
            </w:r>
          </w:p>
        </w:tc>
        <w:tc>
          <w:tcPr>
            <w:tcW w:w="2263" w:type="dxa"/>
          </w:tcPr>
          <w:p w14:paraId="21313C24" w14:textId="039C7E74" w:rsidR="0045528A" w:rsidRPr="004B582B" w:rsidRDefault="00360785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528A" w14:paraId="6FE2B8FA" w14:textId="77777777" w:rsidTr="00C83E93">
        <w:tc>
          <w:tcPr>
            <w:tcW w:w="2377" w:type="dxa"/>
          </w:tcPr>
          <w:p w14:paraId="62D041D2" w14:textId="6E8871E3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unici întreținători ai familiilor monoparentale</w:t>
            </w:r>
          </w:p>
        </w:tc>
        <w:tc>
          <w:tcPr>
            <w:tcW w:w="2263" w:type="dxa"/>
          </w:tcPr>
          <w:p w14:paraId="24ECBFB1" w14:textId="77777777" w:rsidR="00360785" w:rsidRDefault="00360785" w:rsidP="00360785">
            <w:pPr>
              <w:ind w:left="0"/>
              <w:jc w:val="center"/>
              <w:rPr>
                <w:bCs/>
              </w:rPr>
            </w:pPr>
          </w:p>
          <w:p w14:paraId="6A79F2B9" w14:textId="0A6D79F7" w:rsidR="0045528A" w:rsidRPr="004B582B" w:rsidRDefault="00360785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528A" w14:paraId="7CB4266A" w14:textId="77777777" w:rsidTr="00C83E93">
        <w:tc>
          <w:tcPr>
            <w:tcW w:w="2377" w:type="dxa"/>
          </w:tcPr>
          <w:p w14:paraId="67DF3159" w14:textId="7B99BFE3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Tineri NEETs</w:t>
            </w:r>
          </w:p>
        </w:tc>
        <w:tc>
          <w:tcPr>
            <w:tcW w:w="2263" w:type="dxa"/>
          </w:tcPr>
          <w:p w14:paraId="78751E23" w14:textId="732D543B" w:rsidR="0045528A" w:rsidRPr="004B582B" w:rsidRDefault="002A19E4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856A6F">
              <w:rPr>
                <w:bCs/>
              </w:rPr>
              <w:t>6</w:t>
            </w:r>
          </w:p>
        </w:tc>
      </w:tr>
      <w:tr w:rsidR="0045528A" w14:paraId="16A7FBA9" w14:textId="77777777" w:rsidTr="00C83E93">
        <w:tc>
          <w:tcPr>
            <w:tcW w:w="2377" w:type="dxa"/>
          </w:tcPr>
          <w:p w14:paraId="2632B1C3" w14:textId="01827739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Someri de lunga durata</w:t>
            </w:r>
          </w:p>
        </w:tc>
        <w:tc>
          <w:tcPr>
            <w:tcW w:w="2263" w:type="dxa"/>
          </w:tcPr>
          <w:p w14:paraId="12D96F10" w14:textId="77777777" w:rsidR="00360785" w:rsidRDefault="00360785" w:rsidP="00360785">
            <w:pPr>
              <w:ind w:left="0"/>
              <w:jc w:val="center"/>
              <w:rPr>
                <w:bCs/>
              </w:rPr>
            </w:pPr>
          </w:p>
          <w:p w14:paraId="01DA460F" w14:textId="29829D4D" w:rsidR="0045528A" w:rsidRPr="004B582B" w:rsidRDefault="00360785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328DE960" w14:textId="77777777" w:rsidR="00A9351C" w:rsidRDefault="00A9351C">
      <w:pPr>
        <w:ind w:left="1440"/>
        <w:rPr>
          <w:bCs/>
        </w:rPr>
      </w:pPr>
    </w:p>
    <w:p w14:paraId="2305F6B4" w14:textId="77777777" w:rsidR="00C83E93" w:rsidRDefault="00C83E9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83640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11BC" w14:textId="77777777" w:rsidR="00836400" w:rsidRDefault="00836400">
      <w:pPr>
        <w:spacing w:after="0" w:line="240" w:lineRule="auto"/>
      </w:pPr>
      <w:r>
        <w:separator/>
      </w:r>
    </w:p>
  </w:endnote>
  <w:endnote w:type="continuationSeparator" w:id="0">
    <w:p w14:paraId="3BAD9D98" w14:textId="77777777" w:rsidR="00836400" w:rsidRDefault="0083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90F3" w14:textId="77777777" w:rsidR="00836400" w:rsidRDefault="00836400">
      <w:pPr>
        <w:spacing w:after="0" w:line="240" w:lineRule="auto"/>
      </w:pPr>
      <w:r>
        <w:separator/>
      </w:r>
    </w:p>
  </w:footnote>
  <w:footnote w:type="continuationSeparator" w:id="0">
    <w:p w14:paraId="15C0BC68" w14:textId="77777777" w:rsidR="00836400" w:rsidRDefault="0083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34A31"/>
    <w:rsid w:val="000664A8"/>
    <w:rsid w:val="000B7F79"/>
    <w:rsid w:val="0012042F"/>
    <w:rsid w:val="0014163C"/>
    <w:rsid w:val="001754FE"/>
    <w:rsid w:val="001808EC"/>
    <w:rsid w:val="00237CAA"/>
    <w:rsid w:val="00265B8F"/>
    <w:rsid w:val="002708B9"/>
    <w:rsid w:val="00274AED"/>
    <w:rsid w:val="002836DB"/>
    <w:rsid w:val="002A19E4"/>
    <w:rsid w:val="00360785"/>
    <w:rsid w:val="00435546"/>
    <w:rsid w:val="0045528A"/>
    <w:rsid w:val="004743AA"/>
    <w:rsid w:val="00482202"/>
    <w:rsid w:val="004842B0"/>
    <w:rsid w:val="004B582B"/>
    <w:rsid w:val="004C5A77"/>
    <w:rsid w:val="004C613A"/>
    <w:rsid w:val="005046FE"/>
    <w:rsid w:val="00557683"/>
    <w:rsid w:val="00567CA2"/>
    <w:rsid w:val="0059797A"/>
    <w:rsid w:val="00627C54"/>
    <w:rsid w:val="006D3D96"/>
    <w:rsid w:val="00745F79"/>
    <w:rsid w:val="00836400"/>
    <w:rsid w:val="0085165B"/>
    <w:rsid w:val="00856A6F"/>
    <w:rsid w:val="008936AB"/>
    <w:rsid w:val="008C0CEC"/>
    <w:rsid w:val="00A029C9"/>
    <w:rsid w:val="00A46321"/>
    <w:rsid w:val="00A9351C"/>
    <w:rsid w:val="00AD4B64"/>
    <w:rsid w:val="00B30631"/>
    <w:rsid w:val="00B826DD"/>
    <w:rsid w:val="00C455D3"/>
    <w:rsid w:val="00C83E93"/>
    <w:rsid w:val="00C90B9E"/>
    <w:rsid w:val="00CB4340"/>
    <w:rsid w:val="00DA5A8C"/>
    <w:rsid w:val="00F10B30"/>
    <w:rsid w:val="00F14FF5"/>
    <w:rsid w:val="00F41876"/>
    <w:rsid w:val="00F5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4</cp:revision>
  <dcterms:created xsi:type="dcterms:W3CDTF">2024-03-20T08:56:00Z</dcterms:created>
  <dcterms:modified xsi:type="dcterms:W3CDTF">2024-04-08T11:00:00Z</dcterms:modified>
</cp:coreProperties>
</file>