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5" w:rsidRDefault="003C7A25" w:rsidP="003C7A25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BIBLIOGRAFIA</w:t>
      </w:r>
      <w:bookmarkStart w:id="0" w:name="_GoBack"/>
      <w:bookmarkEnd w:id="0"/>
    </w:p>
    <w:p w:rsidR="003C7A25" w:rsidRPr="00BE571F" w:rsidRDefault="003C7A25" w:rsidP="003C7A25">
      <w:pPr>
        <w:spacing w:after="0"/>
        <w:ind w:left="0"/>
        <w:jc w:val="center"/>
        <w:rPr>
          <w:rFonts w:eastAsia="Calibri"/>
          <w:b/>
          <w:lang w:val="ro-RO"/>
        </w:rPr>
      </w:pPr>
      <w:r w:rsidRPr="00BE571F">
        <w:rPr>
          <w:rFonts w:eastAsia="Calibri"/>
          <w:lang w:val="ro-RO"/>
        </w:rPr>
        <w:t>privind organizarea selecției pentru ocuparea postu</w:t>
      </w:r>
      <w:r>
        <w:rPr>
          <w:rFonts w:eastAsia="Calibri"/>
          <w:lang w:val="ro-RO"/>
        </w:rPr>
        <w:t>r</w:t>
      </w:r>
      <w:r w:rsidRPr="00BE571F">
        <w:rPr>
          <w:rFonts w:eastAsia="Calibri"/>
          <w:lang w:val="ro-RO"/>
        </w:rPr>
        <w:t>i</w:t>
      </w:r>
      <w:r>
        <w:rPr>
          <w:rFonts w:eastAsia="Calibri"/>
          <w:lang w:val="ro-RO"/>
        </w:rPr>
        <w:t>lor din echipa de implementare</w:t>
      </w:r>
      <w:r w:rsidRPr="00BE571F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a</w:t>
      </w:r>
      <w:r w:rsidRPr="00BE571F">
        <w:rPr>
          <w:rFonts w:eastAsia="Calibri"/>
          <w:lang w:val="ro-RO"/>
        </w:rPr>
        <w:t xml:space="preserve"> proiectului</w:t>
      </w:r>
    </w:p>
    <w:p w:rsidR="003C7A25" w:rsidRPr="00BE571F" w:rsidRDefault="003C7A25" w:rsidP="003C7A25">
      <w:pPr>
        <w:spacing w:after="0"/>
        <w:ind w:left="0"/>
        <w:jc w:val="center"/>
        <w:rPr>
          <w:rFonts w:eastAsia="Calibri"/>
          <w:b/>
          <w:i/>
          <w:lang w:val="ro-RO"/>
        </w:rPr>
      </w:pPr>
      <w:r w:rsidRPr="00097139">
        <w:rPr>
          <w:rFonts w:eastAsia="Calibri"/>
          <w:b/>
          <w:lang w:val="ro-RO"/>
        </w:rPr>
        <w:t>ACTINEETs 1 RMPD</w:t>
      </w:r>
      <w:r w:rsidRPr="00BE571F">
        <w:rPr>
          <w:rFonts w:eastAsia="Calibri"/>
          <w:b/>
          <w:i/>
          <w:lang w:val="ro-RO"/>
        </w:rPr>
        <w:t xml:space="preserve"> – „Activare tineri NEETs”</w:t>
      </w:r>
      <w:r w:rsidRPr="00830E92">
        <w:rPr>
          <w:rFonts w:cs="Trebuchet MS"/>
        </w:rPr>
        <w:t xml:space="preserve"> </w:t>
      </w:r>
      <w:r w:rsidRPr="00097139">
        <w:rPr>
          <w:rFonts w:cs="Trebuchet MS"/>
          <w:b/>
        </w:rPr>
        <w:t>POCU/983/1/1/152744</w:t>
      </w:r>
    </w:p>
    <w:p w:rsidR="003C7A25" w:rsidRDefault="003C7A25" w:rsidP="003C7A25">
      <w:pPr>
        <w:widowControl w:val="0"/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Legislație primară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Constituția României, republicată;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Legea nr. 202/2006 privind organizarea și funcționarea Agenției Naționale pentru Ocuparea Forței de Muncă, republicată,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Ordonanța de urgență a Guvernului nr.57/2019 privind Codul Administrativ;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Legea nr.76/2002 privind sistemul asigurărilor pentru șomaj și stimularea ocupării forței de muncă,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Legea nr.161/2003 privind unele măsuri pentru asigurarea transparenței în exercitarea demnităților publice, a funcțiilor publice din mediul de afaceri, prevenirea și sancționarea corupției,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Legea nr.500/2002 privind finanțele publice,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Legea-cadru nr.153/2017 privind salarizarea personalului plătit din fonduri publice,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Ordonanța de urgență a Guvernului nr.64/2009 privind gestionarea financiară a instrumentelor structurale și utilizarea acestora pentru obiectivul de convergență,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1"/>
        </w:numPr>
        <w:tabs>
          <w:tab w:val="left" w:pos="990"/>
          <w:tab w:val="left" w:pos="1800"/>
        </w:tabs>
        <w:autoSpaceDE w:val="0"/>
        <w:autoSpaceDN w:val="0"/>
        <w:adjustRightInd w:val="0"/>
        <w:ind w:firstLine="0"/>
      </w:pPr>
      <w:r>
        <w:t>Ordonanța de urgență a Guvernului nr.40/2015 privind gestionarea financiară a fondurilor europene pentru perioada de programare 2014-2020, cu modificările și completările ulterioare.</w:t>
      </w:r>
    </w:p>
    <w:p w:rsidR="003C7A25" w:rsidRDefault="003C7A25" w:rsidP="003C7A25">
      <w:pPr>
        <w:widowControl w:val="0"/>
        <w:autoSpaceDE w:val="0"/>
        <w:autoSpaceDN w:val="0"/>
        <w:adjustRightInd w:val="0"/>
        <w:spacing w:after="0"/>
        <w:ind w:left="720"/>
        <w:rPr>
          <w:b/>
        </w:rPr>
      </w:pPr>
      <w:r>
        <w:rPr>
          <w:b/>
        </w:rPr>
        <w:t>Legislație secundară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Hotărârea Guvernului nr.218/2012 pentru aprobarea normelor metodologice de aplicare a prevederilor Ordonanței de urgență a Guvernului nr.64/2009 privind gestionarea financiară a instrumentelor structurale și utilizarea acestora pentru obiectivul de convergență,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Hotărârea Guvernului nr.399/2015 privind regulile de eligibilitate a cheltuielilor efectuate în cadrul operațiunilor finanțate din Fondul European de Dezvoltare Regională, Fondul Social European și Fondul de Coeziune 2014-2020;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Hotărârea Guvernului nr.93/2016 pentru aprobarea Normelor metodologice de aplicare a prevederilor Ordonanței de urgență a Guvernului nr.40/2015 privind gesionarea financiară a fondurilor europene pentru perioada de programare 2014-2020;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Hotărârea Guvernului nr.1610/2006 privind aprobarea Statutului Agenției Naționale pentru Ocuparea Forței de Muncă,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Ordinul ministrului finanțelor publice nr.1792/2002 pentru aprobarea Normelor metodologice privind angajarea, lichidarea, ordonanțarea și plata cheltuielilor instituțiilor publice, precum și organizarea, evidența și raportarea angajamentelor bugetare și legale, cu modificările și completările ulterioare;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Ghidul condiții generale/orientări privind accesarea finanțării în cadrul POCU 2014-2020;</w:t>
      </w:r>
    </w:p>
    <w:p w:rsidR="003C7A25" w:rsidRDefault="003C7A25" w:rsidP="003C7A25">
      <w:pPr>
        <w:pStyle w:val="ListParagraph"/>
        <w:widowControl w:val="0"/>
        <w:numPr>
          <w:ilvl w:val="0"/>
          <w:numId w:val="2"/>
        </w:numPr>
        <w:tabs>
          <w:tab w:val="left" w:pos="990"/>
          <w:tab w:val="left" w:pos="1800"/>
        </w:tabs>
        <w:autoSpaceDE w:val="0"/>
        <w:autoSpaceDN w:val="0"/>
        <w:adjustRightInd w:val="0"/>
        <w:ind w:left="1440" w:firstLine="0"/>
      </w:pPr>
      <w:r>
        <w:t>Ghidul Solicitantului (condiții specifice).</w:t>
      </w:r>
    </w:p>
    <w:p w:rsidR="008A1856" w:rsidRDefault="00A83F4D"/>
    <w:sectPr w:rsidR="008A1856" w:rsidSect="003C7A25">
      <w:pgSz w:w="11909" w:h="16834" w:code="9"/>
      <w:pgMar w:top="1008" w:right="57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4D" w:rsidRDefault="00A83F4D" w:rsidP="003C7A25">
      <w:pPr>
        <w:spacing w:after="0" w:line="240" w:lineRule="auto"/>
      </w:pPr>
      <w:r>
        <w:separator/>
      </w:r>
    </w:p>
  </w:endnote>
  <w:endnote w:type="continuationSeparator" w:id="0">
    <w:p w:rsidR="00A83F4D" w:rsidRDefault="00A83F4D" w:rsidP="003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4D" w:rsidRDefault="00A83F4D" w:rsidP="003C7A25">
      <w:pPr>
        <w:spacing w:after="0" w:line="240" w:lineRule="auto"/>
      </w:pPr>
      <w:r>
        <w:separator/>
      </w:r>
    </w:p>
  </w:footnote>
  <w:footnote w:type="continuationSeparator" w:id="0">
    <w:p w:rsidR="00A83F4D" w:rsidRDefault="00A83F4D" w:rsidP="003C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7CF0"/>
    <w:multiLevelType w:val="hybridMultilevel"/>
    <w:tmpl w:val="9B045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6C1731"/>
    <w:multiLevelType w:val="hybridMultilevel"/>
    <w:tmpl w:val="D55E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79"/>
    <w:rsid w:val="000F2D79"/>
    <w:rsid w:val="003C7A25"/>
    <w:rsid w:val="006A027B"/>
    <w:rsid w:val="008D520A"/>
    <w:rsid w:val="00A8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25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C7A25"/>
    <w:rPr>
      <w:rFonts w:ascii="Trebuchet MS" w:eastAsia="MS Mincho" w:hAnsi="Trebuchet MS" w:cs="Times New Roma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3C7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25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3C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25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25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3C7A25"/>
    <w:rPr>
      <w:rFonts w:ascii="Trebuchet MS" w:eastAsia="MS Mincho" w:hAnsi="Trebuchet MS" w:cs="Times New Roma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3C7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25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3C7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25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Badea</dc:creator>
  <cp:keywords/>
  <dc:description/>
  <cp:lastModifiedBy>Cristina Badea</cp:lastModifiedBy>
  <cp:revision>3</cp:revision>
  <cp:lastPrinted>2022-01-18T11:03:00Z</cp:lastPrinted>
  <dcterms:created xsi:type="dcterms:W3CDTF">2022-01-18T11:01:00Z</dcterms:created>
  <dcterms:modified xsi:type="dcterms:W3CDTF">2022-01-18T11:03:00Z</dcterms:modified>
</cp:coreProperties>
</file>