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C550CC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30</w:t>
      </w:r>
      <w:r w:rsidR="00BC09EC">
        <w:rPr>
          <w:lang w:val="ro-RO"/>
        </w:rPr>
        <w:t xml:space="preserve"> IANUARIE 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C550CC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 xml:space="preserve">660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C550CC">
        <w:rPr>
          <w:rFonts w:cs="Trebuchet MS"/>
          <w:bCs/>
          <w:color w:val="FF0000"/>
          <w:sz w:val="24"/>
          <w:szCs w:val="24"/>
        </w:rPr>
        <w:t>660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C550CC" w:rsidRPr="00C550CC" w:rsidRDefault="00C5570B" w:rsidP="00C550C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C550CC">
        <w:rPr>
          <w:rFonts w:cs="Trebuchet MS"/>
          <w:bCs/>
          <w:color w:val="FF0000"/>
          <w:sz w:val="24"/>
          <w:szCs w:val="24"/>
        </w:rPr>
        <w:t>660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C550CC">
        <w:rPr>
          <w:rFonts w:cs="Trebuchet MS"/>
          <w:sz w:val="24"/>
          <w:szCs w:val="24"/>
        </w:rPr>
        <w:t xml:space="preserve">62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C550CC">
        <w:rPr>
          <w:rFonts w:cs="Trebuchet MS"/>
          <w:sz w:val="24"/>
          <w:szCs w:val="24"/>
        </w:rPr>
        <w:t xml:space="preserve">  </w:t>
      </w:r>
      <w:r w:rsidR="00C550CC" w:rsidRPr="00C550CC">
        <w:rPr>
          <w:rFonts w:cs="Trebuchet MS"/>
          <w:sz w:val="24"/>
          <w:szCs w:val="24"/>
        </w:rPr>
        <w:t>administrator cont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agent contractari si achizitii (broker marfuri)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consilier/expert/inspector/referent/economist în gestiunea economica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director tehnic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inginer de sistem software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inginer electromecanic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inginer mecanic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inginer productie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operator introducere, validare si prelucrare date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programator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specialist marketing</w:t>
      </w:r>
      <w:r w:rsidR="00C550CC">
        <w:rPr>
          <w:rFonts w:cs="Trebuchet MS"/>
          <w:sz w:val="24"/>
          <w:szCs w:val="24"/>
        </w:rPr>
        <w:t xml:space="preserve">, </w:t>
      </w:r>
      <w:r w:rsidR="00C550CC" w:rsidRPr="00C550CC">
        <w:rPr>
          <w:rFonts w:cs="Trebuchet MS"/>
          <w:sz w:val="24"/>
          <w:szCs w:val="24"/>
        </w:rPr>
        <w:t>tehnician mentenanta electromecanica – automatica echipamente industriale</w:t>
      </w:r>
      <w:r w:rsidR="00C550CC"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 w:rsidR="00F84186">
        <w:rPr>
          <w:rFonts w:cs="Trebuchet MS"/>
          <w:color w:val="FF0000"/>
          <w:sz w:val="24"/>
          <w:szCs w:val="24"/>
        </w:rPr>
        <w:t>4</w:t>
      </w:r>
      <w:r w:rsidR="00C550CC">
        <w:rPr>
          <w:rFonts w:cs="Trebuchet MS"/>
          <w:color w:val="FF0000"/>
          <w:sz w:val="24"/>
          <w:szCs w:val="24"/>
        </w:rPr>
        <w:t>13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556A72" w:rsidRPr="00C550CC">
        <w:rPr>
          <w:rFonts w:cs="Trebuchet MS"/>
          <w:sz w:val="24"/>
          <w:szCs w:val="24"/>
        </w:rPr>
        <w:t>administrator societate comerciala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agent comercial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agent contractari si achizitii (broker marfuri)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agent de securitate</w:t>
      </w:r>
      <w:r w:rsidR="00556A72">
        <w:rPr>
          <w:rFonts w:cs="Trebuchet MS"/>
          <w:sz w:val="24"/>
          <w:szCs w:val="24"/>
        </w:rPr>
        <w:t xml:space="preserve">, agent de turism, </w:t>
      </w:r>
      <w:r w:rsidR="00556A72" w:rsidRPr="00C550CC">
        <w:rPr>
          <w:rFonts w:cs="Trebuchet MS"/>
          <w:sz w:val="24"/>
          <w:szCs w:val="24"/>
        </w:rPr>
        <w:t>agent de vânzari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ajutor bucatar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asistent manager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asistent medical generalist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barman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bucatar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casier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colector (recuperator) creante/debite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conducător auto transport rutier de mărfuri</w:t>
      </w:r>
      <w:r w:rsidR="00556A72">
        <w:rPr>
          <w:rFonts w:cs="Trebuchet MS"/>
          <w:sz w:val="24"/>
          <w:szCs w:val="24"/>
        </w:rPr>
        <w:t>,</w:t>
      </w:r>
      <w:r w:rsidR="00556A72" w:rsidRPr="00C550CC">
        <w:rPr>
          <w:rFonts w:cs="Trebuchet MS"/>
          <w:sz w:val="24"/>
          <w:szCs w:val="24"/>
        </w:rPr>
        <w:t>confectioner tâmplarie din aluminiu si mase plastice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consilier juridic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contabil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controlor calitate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croitor-stantator piese încaltaminte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dulgher (exclusiv restaurator)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electrician de întretinere si reparatii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electrician în constructii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electrician montator de instalatii electrice la mijloace de transport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electromecanic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faiantar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femeie de serviciu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fierar betonist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frezor universal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frizer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gestionar depozit</w:t>
      </w:r>
      <w:r w:rsidR="00556A72">
        <w:rPr>
          <w:rFonts w:cs="Trebuchet MS"/>
          <w:sz w:val="24"/>
          <w:szCs w:val="24"/>
        </w:rPr>
        <w:t xml:space="preserve">, grafician calculator, </w:t>
      </w:r>
      <w:r w:rsidR="00556A72" w:rsidRPr="00C550CC">
        <w:rPr>
          <w:rFonts w:cs="Trebuchet MS"/>
          <w:sz w:val="24"/>
          <w:szCs w:val="24"/>
        </w:rPr>
        <w:t>imprimeur textil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inginer electromecanic</w:t>
      </w:r>
      <w:r w:rsidR="00556A72">
        <w:rPr>
          <w:rFonts w:cs="Trebuchet MS"/>
          <w:sz w:val="24"/>
          <w:szCs w:val="24"/>
        </w:rPr>
        <w:t xml:space="preserve">, inginer mecanic, </w:t>
      </w:r>
      <w:r w:rsidR="00556A72" w:rsidRPr="00C550CC">
        <w:rPr>
          <w:rFonts w:cs="Trebuchet MS"/>
          <w:sz w:val="24"/>
          <w:szCs w:val="24"/>
        </w:rPr>
        <w:t>inspector tehnic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instalator instalatii tehnico-sanitare si de gaze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instalator ventilare si conditionare apa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îngrijitor spatii verzi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jonctor</w:t>
      </w:r>
      <w:r w:rsidR="00556A72">
        <w:rPr>
          <w:rFonts w:cs="Trebuchet MS"/>
          <w:sz w:val="24"/>
          <w:szCs w:val="24"/>
        </w:rPr>
        <w:t xml:space="preserve"> , </w:t>
      </w:r>
      <w:r w:rsidR="00556A72" w:rsidRPr="00C550CC">
        <w:rPr>
          <w:rFonts w:cs="Trebuchet MS"/>
          <w:sz w:val="24"/>
          <w:szCs w:val="24"/>
        </w:rPr>
        <w:t>lacatus mecanic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lacatus mecanic de întretinere si reparatii universale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linior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lucrator comercial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macaragiu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manager de zona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manipulant marfuri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maseur de întretinere si relaxare</w:t>
      </w:r>
      <w:r w:rsidR="00556A72">
        <w:rPr>
          <w:rFonts w:cs="Trebuchet MS"/>
          <w:sz w:val="24"/>
          <w:szCs w:val="24"/>
        </w:rPr>
        <w:t xml:space="preserve"> , </w:t>
      </w:r>
      <w:r w:rsidR="00556A72" w:rsidRPr="00C550CC">
        <w:rPr>
          <w:rFonts w:cs="Trebuchet MS"/>
          <w:sz w:val="24"/>
          <w:szCs w:val="24"/>
        </w:rPr>
        <w:t>masinist la masini pentru terasamente (ifronist)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masinist la masini pentru terasamente (ifronist)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mecanic utilaj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muncitor necalificat la spargerea si taierea materialelor de constructii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oficiant telegraf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operator la masini-unelte cu comanda numerica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operator presa de transfer termic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ospatar (chelner)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parchetar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patiser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pizzar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referent comert exterior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sculptor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stivuitorist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strungar universal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sudor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taietor, slefuitor, lustruitor piatra, marmura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tehnician electromecanic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tehnician energetician/electrician</w:t>
      </w:r>
      <w:r w:rsidR="00556A72">
        <w:rPr>
          <w:rFonts w:cs="Trebuchet MS"/>
          <w:sz w:val="24"/>
          <w:szCs w:val="24"/>
        </w:rPr>
        <w:t xml:space="preserve">, </w:t>
      </w:r>
      <w:r w:rsidR="00556A72" w:rsidRPr="00C550CC">
        <w:rPr>
          <w:rFonts w:cs="Trebuchet MS"/>
          <w:sz w:val="24"/>
          <w:szCs w:val="24"/>
        </w:rPr>
        <w:t>vânzator</w:t>
      </w:r>
    </w:p>
    <w:p w:rsidR="007051A6" w:rsidRDefault="00556A72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C550CC">
        <w:rPr>
          <w:rFonts w:cs="Trebuchet MS"/>
          <w:sz w:val="24"/>
          <w:szCs w:val="24"/>
        </w:rPr>
        <w:t>zidar rosar-tencuitor</w:t>
      </w:r>
      <w:r w:rsidR="002F4E11">
        <w:rPr>
          <w:rFonts w:cs="Trebuchet MS"/>
          <w:sz w:val="24"/>
          <w:szCs w:val="24"/>
        </w:rPr>
        <w:t xml:space="preserve"> </w:t>
      </w:r>
      <w:r w:rsidR="00F84186">
        <w:rPr>
          <w:rFonts w:cs="Trebuchet MS"/>
          <w:sz w:val="24"/>
          <w:szCs w:val="24"/>
        </w:rPr>
        <w:t xml:space="preserve"> 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Pr="002F4E11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lastRenderedPageBreak/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îngrijitor spatii hoteliere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>,</w:t>
      </w:r>
      <w:r w:rsidRPr="002F4E11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muncitor necalificat la întretinerea de drumuri, sosele, poduri, baraje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2F4E11">
        <w:rPr>
          <w:rFonts w:cs="Trebuchet MS"/>
          <w:sz w:val="24"/>
          <w:szCs w:val="24"/>
        </w:rPr>
        <w:t>operator prelucrarea carcaselor de pasare</w:t>
      </w:r>
      <w:bookmarkStart w:id="0" w:name="_GoBack"/>
      <w:bookmarkEnd w:id="0"/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="002F4E11">
        <w:rPr>
          <w:rFonts w:cs="Trebuchet MS"/>
          <w:iCs/>
          <w:sz w:val="24"/>
          <w:szCs w:val="24"/>
        </w:rPr>
        <w:t xml:space="preserve"> pe</w:t>
      </w:r>
      <w:r w:rsidRPr="0027678F">
        <w:rPr>
          <w:rFonts w:cs="Trebuchet MS"/>
          <w:iCs/>
          <w:sz w:val="24"/>
          <w:szCs w:val="24"/>
        </w:rPr>
        <w:t>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675F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675F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4675FA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675F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675F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4675FA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4675FA" w:rsidP="00EB0EA0">
          <w:pPr>
            <w:pStyle w:val="MediumGrid21"/>
          </w:pPr>
        </w:p>
      </w:tc>
    </w:tr>
  </w:tbl>
  <w:p w:rsidR="00766E0E" w:rsidRPr="00CD5B3B" w:rsidRDefault="004675FA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4675FA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4675FA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F4E11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675FA"/>
    <w:rsid w:val="00477BB9"/>
    <w:rsid w:val="00483319"/>
    <w:rsid w:val="004B243B"/>
    <w:rsid w:val="004F5761"/>
    <w:rsid w:val="00500C35"/>
    <w:rsid w:val="005057A3"/>
    <w:rsid w:val="005344D7"/>
    <w:rsid w:val="00556A72"/>
    <w:rsid w:val="005B5BE1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867F9"/>
    <w:rsid w:val="008B76F8"/>
    <w:rsid w:val="00906F5D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D2966"/>
    <w:rsid w:val="00C30D2D"/>
    <w:rsid w:val="00C545C2"/>
    <w:rsid w:val="00C550CC"/>
    <w:rsid w:val="00C5570B"/>
    <w:rsid w:val="00C6105A"/>
    <w:rsid w:val="00C62087"/>
    <w:rsid w:val="00C8240A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61</cp:revision>
  <cp:lastPrinted>2023-01-30T06:45:00Z</cp:lastPrinted>
  <dcterms:created xsi:type="dcterms:W3CDTF">2021-06-22T06:54:00Z</dcterms:created>
  <dcterms:modified xsi:type="dcterms:W3CDTF">2023-01-30T06:45:00Z</dcterms:modified>
</cp:coreProperties>
</file>