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B3525A">
        <w:rPr>
          <w:b/>
          <w:sz w:val="24"/>
          <w:szCs w:val="24"/>
        </w:rPr>
        <w:t xml:space="preserve">19 </w:t>
      </w:r>
      <w:r w:rsidR="00770591">
        <w:rPr>
          <w:b/>
          <w:sz w:val="24"/>
          <w:szCs w:val="24"/>
        </w:rPr>
        <w:t xml:space="preserve">decembrie </w:t>
      </w:r>
      <w:r w:rsidR="00D72FA7"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 xml:space="preserve">111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Pr="005A711A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 xml:space="preserve">Angajatorii din Spaţiul Economic European oferă, prin intermediul reţelei EURES România, </w:t>
      </w:r>
      <w:r w:rsidR="00B3525A">
        <w:rPr>
          <w:b/>
          <w:sz w:val="24"/>
          <w:szCs w:val="24"/>
        </w:rPr>
        <w:t>111</w:t>
      </w:r>
      <w:r w:rsidRPr="005A711A">
        <w:rPr>
          <w:sz w:val="24"/>
          <w:szCs w:val="24"/>
        </w:rPr>
        <w:t xml:space="preserve"> locuri de muncă vacante, după cum urmează:  </w:t>
      </w:r>
    </w:p>
    <w:p w:rsidR="00606EC8" w:rsidRPr="005A711A" w:rsidRDefault="00606EC8" w:rsidP="006651E6">
      <w:pPr>
        <w:spacing w:after="0"/>
        <w:ind w:left="0"/>
        <w:rPr>
          <w:sz w:val="24"/>
          <w:szCs w:val="24"/>
        </w:rPr>
      </w:pPr>
    </w:p>
    <w:p w:rsidR="00B3525A" w:rsidRPr="00B3525A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  <w:r w:rsidRPr="00B3525A">
        <w:rPr>
          <w:rFonts w:eastAsiaTheme="minorHAnsi" w:cs="Trebuchet MS,Bold"/>
          <w:b/>
          <w:bCs/>
          <w:sz w:val="24"/>
          <w:szCs w:val="24"/>
        </w:rPr>
        <w:t>Norvegia –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152BA5" w:rsidRPr="00B3525A">
        <w:rPr>
          <w:rFonts w:eastAsiaTheme="minorHAnsi" w:cs="Trebuchet MS,Bold"/>
          <w:b/>
          <w:bCs/>
          <w:sz w:val="24"/>
          <w:szCs w:val="24"/>
        </w:rPr>
        <w:t>11</w:t>
      </w:r>
      <w:r w:rsidR="00D963C0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</w:t>
      </w:r>
      <w:r w:rsidRPr="00E51185">
        <w:rPr>
          <w:rFonts w:eastAsiaTheme="minorHAnsi" w:cs="Trebuchet MS,Bold"/>
          <w:bCs/>
          <w:sz w:val="24"/>
          <w:szCs w:val="24"/>
        </w:rPr>
        <w:t xml:space="preserve">muncă </w:t>
      </w:r>
      <w:r w:rsidRPr="00E51185">
        <w:rPr>
          <w:rFonts w:eastAsiaTheme="minorHAnsi" w:cs="Trebuchet MS"/>
          <w:sz w:val="24"/>
          <w:szCs w:val="24"/>
        </w:rPr>
        <w:t>pentru:</w:t>
      </w:r>
      <w:r w:rsidRPr="00B3525A">
        <w:rPr>
          <w:rFonts w:eastAsiaTheme="minorHAnsi" w:cs="Trebuchet MS"/>
          <w:sz w:val="24"/>
          <w:szCs w:val="24"/>
        </w:rPr>
        <w:t xml:space="preserve"> </w:t>
      </w:r>
      <w:r w:rsidR="00B3525A" w:rsidRPr="00B3525A">
        <w:t>Vopsitor auto</w:t>
      </w:r>
      <w:r w:rsidR="00B3525A" w:rsidRPr="00B3525A">
        <w:t xml:space="preserve">, </w:t>
      </w:r>
      <w:r w:rsidR="00B3525A" w:rsidRPr="00B3525A">
        <w:t>tinichigiu auto</w:t>
      </w:r>
      <w:r w:rsidR="00B3525A" w:rsidRPr="00B3525A">
        <w:t xml:space="preserve">, </w:t>
      </w:r>
      <w:r w:rsidR="00B3525A" w:rsidRPr="00B3525A">
        <w:t>farmacist</w:t>
      </w:r>
      <w:r w:rsidR="00B3525A" w:rsidRPr="00B3525A">
        <w:t xml:space="preserve">, </w:t>
      </w:r>
      <w:r w:rsidR="00B3525A" w:rsidRPr="00B3525A">
        <w:t>Sticlar / slefuitor sticla</w:t>
      </w:r>
      <w:r w:rsidR="00B3525A" w:rsidRPr="00B3525A">
        <w:t xml:space="preserve">, </w:t>
      </w:r>
      <w:r w:rsidR="00B3525A" w:rsidRPr="00B3525A">
        <w:t>Sticlar / artizan sticla</w:t>
      </w:r>
      <w:r w:rsidR="00B3525A" w:rsidRPr="00B3525A">
        <w:t xml:space="preserve">, </w:t>
      </w:r>
    </w:p>
    <w:p w:rsidR="00606EC8" w:rsidRPr="00B3525A" w:rsidRDefault="00152BA5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B3525A">
        <w:rPr>
          <w:b/>
          <w:sz w:val="24"/>
          <w:szCs w:val="24"/>
        </w:rPr>
        <w:t>Lit</w:t>
      </w:r>
      <w:r w:rsidR="00606EC8" w:rsidRPr="00B3525A">
        <w:rPr>
          <w:b/>
          <w:sz w:val="24"/>
          <w:szCs w:val="24"/>
        </w:rPr>
        <w:t>uania</w:t>
      </w:r>
      <w:r w:rsidR="00606EC8" w:rsidRPr="00B3525A">
        <w:rPr>
          <w:sz w:val="24"/>
          <w:szCs w:val="24"/>
        </w:rPr>
        <w:t xml:space="preserve"> </w:t>
      </w:r>
      <w:r w:rsidR="00B53BF9" w:rsidRPr="00B3525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1 </w:t>
      </w:r>
      <w:r w:rsidR="00B53BF9" w:rsidRPr="00B3525A">
        <w:rPr>
          <w:rFonts w:eastAsiaTheme="minorHAnsi" w:cs="Trebuchet MS,Bold"/>
          <w:b/>
          <w:bCs/>
          <w:sz w:val="24"/>
          <w:szCs w:val="24"/>
        </w:rPr>
        <w:t xml:space="preserve">loc de </w:t>
      </w:r>
      <w:r w:rsidR="00B53BF9" w:rsidRPr="00E51185">
        <w:rPr>
          <w:rFonts w:eastAsiaTheme="minorHAnsi" w:cs="Trebuchet MS,Bold"/>
          <w:bCs/>
          <w:sz w:val="24"/>
          <w:szCs w:val="24"/>
        </w:rPr>
        <w:t xml:space="preserve">muncă </w:t>
      </w:r>
      <w:r w:rsidR="00B53BF9" w:rsidRPr="00E51185">
        <w:rPr>
          <w:rFonts w:eastAsiaTheme="minorHAnsi" w:cs="Trebuchet MS"/>
          <w:sz w:val="24"/>
          <w:szCs w:val="24"/>
        </w:rPr>
        <w:t>pentru:</w:t>
      </w:r>
      <w:r w:rsidR="00B53BF9" w:rsidRPr="00B3525A">
        <w:rPr>
          <w:rFonts w:eastAsiaTheme="minorHAnsi" w:cs="Trebuchet MS"/>
          <w:sz w:val="24"/>
          <w:szCs w:val="24"/>
        </w:rPr>
        <w:t xml:space="preserve"> </w:t>
      </w:r>
      <w:r w:rsidR="00113275" w:rsidRPr="00B3525A">
        <w:t xml:space="preserve">instalator,  montator tevi, </w:t>
      </w:r>
    </w:p>
    <w:p w:rsidR="00B3525A" w:rsidRPr="00B3525A" w:rsidRDefault="00B53BF9" w:rsidP="006651E6">
      <w:pPr>
        <w:spacing w:after="0"/>
        <w:ind w:left="0"/>
        <w:rPr>
          <w:rFonts w:eastAsiaTheme="minorHAnsi" w:cs="Trebuchet MS"/>
          <w:sz w:val="24"/>
          <w:szCs w:val="24"/>
        </w:rPr>
      </w:pPr>
      <w:r w:rsidRPr="00B3525A">
        <w:rPr>
          <w:b/>
          <w:sz w:val="24"/>
          <w:szCs w:val="24"/>
        </w:rPr>
        <w:t>Finlanda</w:t>
      </w:r>
      <w:r w:rsidRPr="00B3525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113275">
        <w:rPr>
          <w:rFonts w:eastAsiaTheme="minorHAnsi" w:cs="Trebuchet MS,Bold"/>
          <w:b/>
          <w:bCs/>
          <w:sz w:val="24"/>
          <w:szCs w:val="24"/>
        </w:rPr>
        <w:t>53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rFonts w:eastAsiaTheme="minorHAnsi" w:cs="Trebuchet MS"/>
          <w:sz w:val="24"/>
          <w:szCs w:val="24"/>
        </w:rPr>
        <w:t xml:space="preserve"> </w:t>
      </w:r>
      <w:r w:rsidR="00B3525A" w:rsidRPr="00B3525A">
        <w:t>muncitor necalificat - culegator de capsuni, alte fructe de padure</w:t>
      </w:r>
      <w:r w:rsidR="00B3525A" w:rsidRPr="00B3525A">
        <w:t xml:space="preserve">, </w:t>
      </w:r>
      <w:r w:rsidR="00B3525A" w:rsidRPr="00B3525A">
        <w:t>muncitor necali</w:t>
      </w:r>
      <w:bookmarkStart w:id="0" w:name="_GoBack"/>
      <w:bookmarkEnd w:id="0"/>
      <w:r w:rsidR="00B3525A" w:rsidRPr="00B3525A">
        <w:t>ficat - culegator de fructe de padure, alte fructe si legume</w:t>
      </w:r>
      <w:r w:rsidR="00B3525A" w:rsidRPr="00B3525A">
        <w:t xml:space="preserve">, </w:t>
      </w:r>
    </w:p>
    <w:p w:rsidR="009C3A27" w:rsidRPr="00B3525A" w:rsidRDefault="00B53BF9" w:rsidP="006651E6">
      <w:pPr>
        <w:spacing w:after="0"/>
        <w:ind w:left="0"/>
        <w:rPr>
          <w:sz w:val="24"/>
          <w:szCs w:val="24"/>
        </w:rPr>
      </w:pPr>
      <w:r w:rsidRPr="00B3525A">
        <w:rPr>
          <w:b/>
          <w:sz w:val="24"/>
          <w:szCs w:val="24"/>
        </w:rPr>
        <w:t>Danemarca</w:t>
      </w:r>
      <w:r w:rsidRPr="00B3525A">
        <w:rPr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9C3A27" w:rsidRPr="00B3525A">
        <w:rPr>
          <w:rFonts w:eastAsiaTheme="minorHAnsi" w:cs="Trebuchet MS,Bold"/>
          <w:b/>
          <w:bCs/>
          <w:sz w:val="24"/>
          <w:szCs w:val="24"/>
        </w:rPr>
        <w:t>30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sz w:val="24"/>
          <w:szCs w:val="24"/>
        </w:rPr>
        <w:t xml:space="preserve"> </w:t>
      </w:r>
      <w:r w:rsidR="00770591" w:rsidRPr="00B3525A">
        <w:rPr>
          <w:sz w:val="24"/>
          <w:szCs w:val="24"/>
        </w:rPr>
        <w:t xml:space="preserve">Ingrijitor persoane, </w:t>
      </w:r>
    </w:p>
    <w:p w:rsidR="00770591" w:rsidRPr="00B3525A" w:rsidRDefault="00770591" w:rsidP="006651E6">
      <w:pPr>
        <w:spacing w:after="0"/>
        <w:ind w:left="0"/>
        <w:rPr>
          <w:sz w:val="24"/>
          <w:szCs w:val="24"/>
        </w:rPr>
      </w:pPr>
      <w:r w:rsidRPr="00B3525A">
        <w:rPr>
          <w:b/>
          <w:sz w:val="24"/>
          <w:szCs w:val="24"/>
        </w:rPr>
        <w:t>Germania</w:t>
      </w:r>
      <w:r w:rsidRPr="00B3525A">
        <w:rPr>
          <w:sz w:val="24"/>
          <w:szCs w:val="24"/>
        </w:rPr>
        <w:t xml:space="preserve"> </w:t>
      </w:r>
      <w:r w:rsidR="009C3A27" w:rsidRPr="00E51185">
        <w:rPr>
          <w:b/>
          <w:sz w:val="24"/>
          <w:szCs w:val="24"/>
        </w:rPr>
        <w:t xml:space="preserve">– 1 loc de </w:t>
      </w:r>
      <w:r w:rsidR="009C3A27" w:rsidRPr="00E51185">
        <w:rPr>
          <w:rFonts w:eastAsiaTheme="minorHAnsi" w:cs="Trebuchet MS,Bold"/>
          <w:b/>
          <w:bCs/>
          <w:sz w:val="24"/>
          <w:szCs w:val="24"/>
        </w:rPr>
        <w:t>de muncă</w:t>
      </w:r>
      <w:r w:rsidR="009C3A27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9C3A27"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sz w:val="24"/>
          <w:szCs w:val="24"/>
        </w:rPr>
        <w:t xml:space="preserve"> </w:t>
      </w:r>
      <w:r w:rsidR="00B3525A" w:rsidRPr="00B3525A">
        <w:t>Tehnician electronist pentru energia si tehnologia cladirilor</w:t>
      </w:r>
      <w:r w:rsidR="00B3525A" w:rsidRPr="00B3525A">
        <w:t xml:space="preserve">, </w:t>
      </w:r>
    </w:p>
    <w:p w:rsidR="006651E6" w:rsidRPr="00B3525A" w:rsidRDefault="00D963C0" w:rsidP="00B3525A">
      <w:pPr>
        <w:spacing w:after="0"/>
        <w:ind w:left="0"/>
        <w:rPr>
          <w:rFonts w:eastAsiaTheme="minorHAnsi" w:cs="Trebuchet MS"/>
          <w:sz w:val="24"/>
          <w:szCs w:val="24"/>
        </w:rPr>
      </w:pPr>
      <w:r w:rsidRPr="00B3525A">
        <w:rPr>
          <w:b/>
          <w:sz w:val="24"/>
          <w:szCs w:val="24"/>
        </w:rPr>
        <w:t>Polonia</w:t>
      </w:r>
      <w:r w:rsidRPr="00B3525A">
        <w:rPr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B3525A">
        <w:rPr>
          <w:rFonts w:eastAsiaTheme="minorHAnsi" w:cs="Trebuchet MS,Bold"/>
          <w:b/>
          <w:bCs/>
          <w:sz w:val="24"/>
          <w:szCs w:val="24"/>
        </w:rPr>
        <w:t xml:space="preserve"> 15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="00B3525A" w:rsidRPr="00B3525A">
        <w:rPr>
          <w:rFonts w:eastAsiaTheme="minorHAnsi" w:cs="Trebuchet MS"/>
          <w:b/>
          <w:sz w:val="24"/>
          <w:szCs w:val="24"/>
        </w:rPr>
        <w:t>pentru:</w:t>
      </w:r>
      <w:r w:rsidR="00B3525A" w:rsidRPr="00B3525A">
        <w:rPr>
          <w:rFonts w:eastAsiaTheme="minorHAnsi" w:cs="Trebuchet MS"/>
          <w:b/>
          <w:sz w:val="24"/>
          <w:szCs w:val="24"/>
        </w:rPr>
        <w:t xml:space="preserve"> </w:t>
      </w:r>
      <w:r w:rsidRPr="00B3525A">
        <w:rPr>
          <w:rFonts w:eastAsiaTheme="minorHAnsi" w:cs="Trebuchet MS"/>
          <w:sz w:val="24"/>
          <w:szCs w:val="24"/>
        </w:rPr>
        <w:t>pentru</w:t>
      </w:r>
      <w:r w:rsidR="00B3525A" w:rsidRPr="00B3525A">
        <w:t>muncitor depozit - operator stivuitor</w:t>
      </w:r>
      <w:r w:rsidR="00B3525A" w:rsidRPr="00B3525A">
        <w:t xml:space="preserve">, </w:t>
      </w:r>
      <w:r w:rsidR="00B3525A" w:rsidRPr="00B3525A">
        <w:t>Asistent productie</w:t>
      </w:r>
      <w:r w:rsidR="00B3525A" w:rsidRPr="00B3525A">
        <w:t xml:space="preserve">, </w:t>
      </w:r>
      <w:r w:rsidR="00B3525A" w:rsidRPr="00B3525A">
        <w:t>Operator masina CNC (pentru candidatii fara experienta se ofera training)</w:t>
      </w:r>
      <w:r w:rsidR="00B3525A" w:rsidRPr="00B3525A">
        <w:t xml:space="preserve">, </w:t>
      </w: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963C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596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E85964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8596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596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85964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85964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85964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85964" w:rsidP="00EB0EA0">
          <w:pPr>
            <w:pStyle w:val="Header"/>
            <w:ind w:left="0"/>
          </w:pPr>
        </w:p>
        <w:p w:rsidR="00DC08D4" w:rsidRPr="00CD5B3B" w:rsidRDefault="00E85964" w:rsidP="00EB0EA0">
          <w:pPr>
            <w:pStyle w:val="MediumGrid21"/>
          </w:pPr>
        </w:p>
      </w:tc>
    </w:tr>
  </w:tbl>
  <w:p w:rsidR="00766E0E" w:rsidRPr="00CD5B3B" w:rsidRDefault="00E8596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85964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8596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45CF9"/>
    <w:rsid w:val="00152BA5"/>
    <w:rsid w:val="00183441"/>
    <w:rsid w:val="001B30F9"/>
    <w:rsid w:val="001B48CB"/>
    <w:rsid w:val="002E2BC6"/>
    <w:rsid w:val="002F2F91"/>
    <w:rsid w:val="0039499A"/>
    <w:rsid w:val="003C43B9"/>
    <w:rsid w:val="00457B12"/>
    <w:rsid w:val="0053431B"/>
    <w:rsid w:val="00595772"/>
    <w:rsid w:val="005A711A"/>
    <w:rsid w:val="005B4900"/>
    <w:rsid w:val="00606EC8"/>
    <w:rsid w:val="006624F5"/>
    <w:rsid w:val="006651E6"/>
    <w:rsid w:val="006E2407"/>
    <w:rsid w:val="00742B84"/>
    <w:rsid w:val="00746250"/>
    <w:rsid w:val="00770591"/>
    <w:rsid w:val="00792970"/>
    <w:rsid w:val="00813795"/>
    <w:rsid w:val="00821843"/>
    <w:rsid w:val="009234EF"/>
    <w:rsid w:val="009A26BB"/>
    <w:rsid w:val="009C3A27"/>
    <w:rsid w:val="00AB19ED"/>
    <w:rsid w:val="00B044DE"/>
    <w:rsid w:val="00B145F2"/>
    <w:rsid w:val="00B15994"/>
    <w:rsid w:val="00B3525A"/>
    <w:rsid w:val="00B53BF9"/>
    <w:rsid w:val="00B62BF3"/>
    <w:rsid w:val="00BB4164"/>
    <w:rsid w:val="00BC56F1"/>
    <w:rsid w:val="00C83FAC"/>
    <w:rsid w:val="00C87FE0"/>
    <w:rsid w:val="00D25BF1"/>
    <w:rsid w:val="00D369B8"/>
    <w:rsid w:val="00D72FA7"/>
    <w:rsid w:val="00D84D9B"/>
    <w:rsid w:val="00D963C0"/>
    <w:rsid w:val="00E51185"/>
    <w:rsid w:val="00E85964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9FC7-0603-4ADE-A813-4EBBFAFA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38</cp:revision>
  <cp:lastPrinted>2022-12-19T07:19:00Z</cp:lastPrinted>
  <dcterms:created xsi:type="dcterms:W3CDTF">2022-06-24T06:24:00Z</dcterms:created>
  <dcterms:modified xsi:type="dcterms:W3CDTF">2022-12-19T07:19:00Z</dcterms:modified>
</cp:coreProperties>
</file>