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5B" w:rsidRPr="002A2E5B" w:rsidRDefault="002A2E5B" w:rsidP="002A2E5B">
      <w:pPr>
        <w:spacing w:before="100" w:beforeAutospacing="1" w:after="100" w:afterAutospacing="1" w:line="240" w:lineRule="auto"/>
        <w:rPr>
          <w:rFonts w:ascii="Trebuchet MS" w:eastAsia="Times New Roman" w:hAnsi="Trebuchet MS" w:cs="Times New Roman"/>
          <w:b/>
          <w:bCs/>
          <w:sz w:val="21"/>
          <w:szCs w:val="21"/>
        </w:rPr>
      </w:pPr>
      <w:r w:rsidRPr="002A2E5B">
        <w:rPr>
          <w:rFonts w:ascii="Trebuchet MS" w:eastAsia="Times New Roman" w:hAnsi="Trebuchet MS" w:cs="Times New Roman"/>
          <w:b/>
          <w:bCs/>
          <w:sz w:val="21"/>
          <w:szCs w:val="21"/>
        </w:rPr>
        <w:t>Prima de încadrare</w:t>
      </w:r>
    </w:p>
    <w:p w:rsidR="002A2E5B" w:rsidRPr="002A2E5B" w:rsidRDefault="002A2E5B" w:rsidP="002A2E5B">
      <w:pPr>
        <w:spacing w:before="100" w:beforeAutospacing="1" w:after="100" w:afterAutospacing="1"/>
        <w:rPr>
          <w:rFonts w:ascii="Times New Roman" w:eastAsia="Times New Roman" w:hAnsi="Times New Roman" w:cs="Times New Roman"/>
          <w:b/>
          <w:bCs/>
          <w:sz w:val="21"/>
          <w:szCs w:val="21"/>
        </w:rPr>
      </w:pPr>
      <w:r w:rsidRPr="002A2E5B">
        <w:rPr>
          <w:rFonts w:ascii="Times New Roman" w:eastAsia="Times New Roman" w:hAnsi="Times New Roman" w:cs="Times New Roman"/>
          <w:b/>
          <w:bCs/>
          <w:sz w:val="21"/>
          <w:szCs w:val="21"/>
        </w:rPr>
        <w:t>prevăzută de art.74</w:t>
      </w:r>
      <w:r w:rsidRPr="002A2E5B">
        <w:rPr>
          <w:rFonts w:ascii="Trebuchet MS" w:eastAsia="Times New Roman" w:hAnsi="Trebuchet MS" w:cs="Times New Roman"/>
          <w:b/>
          <w:bCs/>
          <w:sz w:val="21"/>
          <w:szCs w:val="21"/>
        </w:rPr>
        <w:t xml:space="preserve"> din Legea nr.76/2002 privind sistemul asigurărilor pentru șomaj și stimularea ocupării forței de muncă</w:t>
      </w:r>
      <w:r w:rsidRPr="002A2E5B">
        <w:rPr>
          <w:rFonts w:ascii="Trebuchet MS" w:eastAsia="Times New Roman" w:hAnsi="Trebuchet MS" w:cs="Times New Roman"/>
          <w:b/>
          <w:bCs/>
          <w:sz w:val="21"/>
          <w:szCs w:val="21"/>
          <w:lang w:val="ro-RO"/>
        </w:rPr>
        <w:t> </w:t>
      </w:r>
      <w:r w:rsidRPr="002A2E5B">
        <w:rPr>
          <w:rFonts w:ascii="Times New Roman" w:eastAsia="Times New Roman" w:hAnsi="Times New Roman" w:cs="Times New Roman"/>
          <w:b/>
          <w:bCs/>
          <w:sz w:val="21"/>
          <w:szCs w:val="21"/>
        </w:rPr>
        <w:t xml:space="preserve"> </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Persoanele înregistrate ca şomeri la agenţiile pentru ocuparea forţei de muncă şi care se încadrează în muncă, potrivit legii, într-o localitate situată la o distanţă mai mare de 15 km de localitatea în care îşi au domiciliul sau reşedinţa, pot beneficia de o primă de încadrare, neimpozabilă.</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Prima de încadrare se calculează la 0,5 lei/km, dar nu mai mult de 55 lei/zi, proporţional cu numărul de zile în care persoanele în cauză desfăşoară efectiv activitatea la angajatorul la care se realizează încadrarea în muncă.</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Prima de încadrare se acordă la cerere, pe o perioadă de 12 luni.</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4"/>
          <w:szCs w:val="24"/>
          <w:lang w:val="ro-RO"/>
        </w:rPr>
        <w:t> </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b/>
          <w:sz w:val="21"/>
          <w:szCs w:val="21"/>
        </w:rPr>
        <w:t>Prima de încarare se acordă dacă sunt îndeplinite cumulativ următoarele condiţii:</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Persoana solicitantă are domiciliul sau reşedinţa în zonele prevăzute în </w:t>
      </w:r>
      <w:hyperlink r:id="rId6" w:history="1">
        <w:r w:rsidRPr="002A2E5B">
          <w:rPr>
            <w:rFonts w:ascii="Trebuchet MS" w:eastAsia="Times New Roman" w:hAnsi="Trebuchet MS" w:cs="Times New Roman"/>
            <w:b/>
            <w:bCs/>
            <w:i/>
            <w:color w:val="0000FF"/>
            <w:sz w:val="21"/>
            <w:szCs w:val="21"/>
            <w:u w:val="single"/>
          </w:rPr>
          <w:t>Planul naţional de mobilitate – H.G. nr. 903/29.11.2016</w:t>
        </w:r>
      </w:hyperlink>
      <w:r w:rsidRPr="002A2E5B">
        <w:rPr>
          <w:rFonts w:ascii="Trebuchet MS" w:eastAsia="Times New Roman" w:hAnsi="Trebuchet MS" w:cs="Times New Roman"/>
          <w:sz w:val="21"/>
          <w:szCs w:val="21"/>
        </w:rPr>
        <w:t xml:space="preserve"> </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Persoana solicitantă să fie înregistrată ca şomer la agenţia pentru ocuparea forţei de muncă </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Încadrarea în muncă să fie într-o localitate  situată la o distanţă mai mare de 15 km de localitatea de domiciliu sau reşedinţă</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Angajarea să fie cu normă întreagă, pentru o perioadă de cel puţin 12 luni </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În ultimii 2 ani anteriori angajării să nu mai fi lucrat la acel angajator</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În ultimii 2 ani anteriori angajării să nu fi lucrat la administratorii/asociaţii angajatorului ( în situaţia în care angajatorul are mai mulţi administratori/ asociaţi);</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Nu a beneficiat de prima de încadrare sau prima de instalare în ultimele 36 luni premergătoare solicitării primei de mobilitate</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Nu deţine în proprietate sau coproprietate o locuinţă în localitatea în care se încadrează în muncă sau în localităţile învecinate acesteia atât persoana solicitantă cât şi soţul/soţia, copii aflaţi în întreţinere. </w:t>
      </w:r>
    </w:p>
    <w:p w:rsidR="002A2E5B" w:rsidRPr="002A2E5B" w:rsidRDefault="002A2E5B" w:rsidP="002A2E5B">
      <w:pPr>
        <w:numPr>
          <w:ilvl w:val="0"/>
          <w:numId w:val="1"/>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Angajatorul sau autorităţile administraţiei publice locale sau centrale nu asigură transportul sau nu suportă cheltuielile aferente </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4"/>
          <w:szCs w:val="24"/>
          <w:lang w:val="ro-RO"/>
        </w:rPr>
        <w:t> </w:t>
      </w:r>
    </w:p>
    <w:p w:rsidR="002A2E5B" w:rsidRPr="002A2E5B" w:rsidRDefault="002A2E5B" w:rsidP="002A2E5B">
      <w:p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b/>
          <w:sz w:val="21"/>
          <w:szCs w:val="21"/>
        </w:rPr>
        <w:t>Documente necesare:</w:t>
      </w:r>
    </w:p>
    <w:p w:rsidR="002A2E5B" w:rsidRPr="002A2E5B" w:rsidRDefault="002A2E5B" w:rsidP="002A2E5B">
      <w:pPr>
        <w:spacing w:before="100" w:beforeAutospacing="1" w:after="100" w:afterAutospacing="1" w:line="240" w:lineRule="auto"/>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Pentru acordarea primei de încadrare, persoanele vor depune la agenţia pentru ocuparea forţei de muncă judeţeană sau a municipiului Bucureşti, unde se află în evidenţă,</w:t>
      </w:r>
      <w:r w:rsidRPr="002A2E5B">
        <w:rPr>
          <w:rFonts w:ascii="Trebuchet MS" w:eastAsia="Times New Roman" w:hAnsi="Trebuchet MS" w:cs="Times New Roman"/>
          <w:b/>
          <w:bCs/>
          <w:sz w:val="21"/>
          <w:szCs w:val="21"/>
        </w:rPr>
        <w:t xml:space="preserve"> în termen de 30 de zile de la data încadrării în muncă</w:t>
      </w:r>
      <w:r w:rsidRPr="002A2E5B">
        <w:rPr>
          <w:rFonts w:ascii="Trebuchet MS" w:eastAsia="Times New Roman" w:hAnsi="Trebuchet MS" w:cs="Times New Roman"/>
          <w:sz w:val="21"/>
          <w:szCs w:val="21"/>
        </w:rPr>
        <w:t>, următoarele documente</w:t>
      </w:r>
      <w:r w:rsidRPr="002A2E5B">
        <w:rPr>
          <w:rFonts w:ascii="Times New Roman" w:eastAsia="Times New Roman" w:hAnsi="Times New Roman" w:cs="Times New Roman"/>
          <w:sz w:val="24"/>
          <w:szCs w:val="24"/>
        </w:rPr>
        <w:t>:</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lastRenderedPageBreak/>
        <w:t xml:space="preserve">Cerere – conform model - </w:t>
      </w:r>
      <w:hyperlink r:id="rId7" w:history="1">
        <w:r w:rsidRPr="002A2E5B">
          <w:rPr>
            <w:rFonts w:ascii="Trebuchet MS" w:eastAsia="Times New Roman" w:hAnsi="Trebuchet MS" w:cs="Times New Roman"/>
            <w:i/>
            <w:color w:val="0000FF"/>
            <w:sz w:val="21"/>
            <w:szCs w:val="21"/>
            <w:u w:val="single"/>
          </w:rPr>
          <w:t>Anexa nr. 11 la Norme</w:t>
        </w:r>
      </w:hyperlink>
      <w:r w:rsidRPr="002A2E5B">
        <w:rPr>
          <w:rFonts w:ascii="Trebuchet MS" w:eastAsia="Times New Roman" w:hAnsi="Trebuchet MS" w:cs="Times New Roman"/>
          <w:sz w:val="21"/>
          <w:szCs w:val="21"/>
        </w:rPr>
        <w:t xml:space="preserve"> </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Actul de identitate al persoanei solicitante – original </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Contract de muncă, cu precizarea locului de muncă unde persoana urmează să îşi des</w:t>
      </w:r>
      <w:r w:rsidR="00060AD8">
        <w:rPr>
          <w:rFonts w:ascii="Trebuchet MS" w:eastAsia="Times New Roman" w:hAnsi="Trebuchet MS" w:cs="Times New Roman"/>
          <w:sz w:val="21"/>
          <w:szCs w:val="21"/>
        </w:rPr>
        <w:t xml:space="preserve">făşoare activitatea – original </w:t>
      </w:r>
      <w:bookmarkStart w:id="0" w:name="_GoBack"/>
      <w:bookmarkEnd w:id="0"/>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 xml:space="preserve">Angajament - conform model – </w:t>
      </w:r>
      <w:hyperlink r:id="rId8" w:history="1">
        <w:r w:rsidRPr="002A2E5B">
          <w:rPr>
            <w:rFonts w:ascii="Trebuchet MS" w:eastAsia="Times New Roman" w:hAnsi="Trebuchet MS" w:cs="Times New Roman"/>
            <w:i/>
            <w:color w:val="0000FF"/>
            <w:sz w:val="21"/>
            <w:szCs w:val="21"/>
            <w:u w:val="single"/>
          </w:rPr>
          <w:t>Anexa nr. 13 la Norme</w:t>
        </w:r>
      </w:hyperlink>
      <w:r w:rsidRPr="002A2E5B">
        <w:rPr>
          <w:rFonts w:ascii="Trebuchet MS" w:eastAsia="Times New Roman" w:hAnsi="Trebuchet MS" w:cs="Times New Roman"/>
          <w:sz w:val="21"/>
          <w:szCs w:val="21"/>
        </w:rPr>
        <w:t xml:space="preserve"> , care constituie titlu executoriu, potrivit legii</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Declaraţie pe propria răspundere a angajatorului din care să rezulte că în ultimii  2 ani acesta nu a mai fost în raporturi de muncă sau de serviciu cu persoana respectivă</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Declaraţie pe propria răspundere a angajatorului din care să rezulte că în ultimii  2 ani persoana angajată nu a mai fost în raporturi de muncă sau de serviciu cu alţi angajatori la care calitatea de administrator / asociat este deţinută de una sau mai multe persoane  fizice sau juridice care au calitatea de administrator/ asociat la angajatorul la care se realizează încadrarea în muncă</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Declaraţie pe propria răspundere a absolvenţilor licenţiaţi ai facultăţilor de medicină, medicină dentară şi farmacie din care să rezulte că la data solicitării primei de mobilitate prevăzute la art. 74 din lege nu au promovat concursul naţional de rezidenţial pe locuri sau pe posturi în condiţiile legii, după caz</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Declaraţia pe propria răspundere a angajatorului absolvenţilor instituţiilor de învăţământ din care să rezulte că nu are obligaţia, potrivit legii, de a angaja persoana din această categorie, după caz</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Declaraţie pe proprie răspundere a persoanei solicitante din care să rezulte că nu deţine în proprietate sau coproprietate o locuinţă în localitatea în care se încadrează în muncă sau în localităţile învecinate acesteia, atât ea cât şi soţul/soţia, copii aflaţi în întreţinere</w:t>
      </w:r>
    </w:p>
    <w:p w:rsidR="002A2E5B" w:rsidRPr="002A2E5B" w:rsidRDefault="002A2E5B" w:rsidP="002A2E5B">
      <w:pPr>
        <w:numPr>
          <w:ilvl w:val="0"/>
          <w:numId w:val="2"/>
        </w:numPr>
        <w:spacing w:before="100" w:beforeAutospacing="1" w:after="100" w:afterAutospacing="1"/>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Declaraţia angajatorului cât şi a persoanei solicitante din care să rezulte că angajatorul sau autoritatea administraţiei publice locală nu asigură transportul şi nu suportă cheltuielile aferente</w:t>
      </w:r>
    </w:p>
    <w:p w:rsidR="002A2E5B" w:rsidRPr="002A2E5B" w:rsidRDefault="002A2E5B" w:rsidP="002A2E5B">
      <w:pPr>
        <w:spacing w:before="100" w:beforeAutospacing="1" w:after="100" w:afterAutospacing="1"/>
        <w:ind w:left="720"/>
        <w:jc w:val="both"/>
        <w:rPr>
          <w:rFonts w:ascii="Times New Roman" w:eastAsia="Times New Roman" w:hAnsi="Times New Roman" w:cs="Times New Roman"/>
          <w:sz w:val="24"/>
          <w:szCs w:val="24"/>
        </w:rPr>
      </w:pPr>
      <w:r w:rsidRPr="002A2E5B">
        <w:rPr>
          <w:rFonts w:ascii="Trebuchet MS" w:eastAsia="Times New Roman" w:hAnsi="Trebuchet MS" w:cs="Times New Roman"/>
          <w:i/>
          <w:sz w:val="24"/>
          <w:szCs w:val="24"/>
          <w:lang w:val="ro-RO"/>
        </w:rPr>
        <w:t> </w:t>
      </w:r>
    </w:p>
    <w:p w:rsidR="002A2E5B" w:rsidRPr="002A2E5B" w:rsidRDefault="002A2E5B" w:rsidP="002A2E5B">
      <w:pPr>
        <w:spacing w:before="100" w:beforeAutospacing="1" w:after="100" w:afterAutospacing="1"/>
        <w:ind w:left="360"/>
        <w:jc w:val="both"/>
        <w:rPr>
          <w:rFonts w:ascii="Times New Roman" w:eastAsia="Times New Roman" w:hAnsi="Times New Roman" w:cs="Times New Roman"/>
          <w:sz w:val="24"/>
          <w:szCs w:val="24"/>
        </w:rPr>
      </w:pPr>
      <w:r w:rsidRPr="002A2E5B">
        <w:rPr>
          <w:rFonts w:ascii="Trebuchet MS" w:eastAsia="Times New Roman" w:hAnsi="Trebuchet MS" w:cs="Times New Roman"/>
          <w:b/>
          <w:bCs/>
          <w:sz w:val="21"/>
          <w:szCs w:val="21"/>
        </w:rPr>
        <w:t>Depunerea documentelor</w:t>
      </w:r>
    </w:p>
    <w:p w:rsidR="002A2E5B" w:rsidRPr="002A2E5B" w:rsidRDefault="002A2E5B" w:rsidP="002A2E5B">
      <w:pPr>
        <w:spacing w:before="100" w:beforeAutospacing="1" w:after="100" w:afterAutospacing="1"/>
        <w:ind w:left="360"/>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w:t>
      </w:r>
      <w:r w:rsidRPr="002A2E5B">
        <w:rPr>
          <w:rFonts w:ascii="Trebuchet MS" w:eastAsia="Times New Roman" w:hAnsi="Trebuchet MS" w:cs="Times New Roman"/>
          <w:sz w:val="21"/>
          <w:szCs w:val="21"/>
        </w:rPr>
        <w:tab/>
        <w:t xml:space="preserve">Personal – la sediul agenţiei </w:t>
      </w:r>
    </w:p>
    <w:p w:rsidR="002A2E5B" w:rsidRPr="002A2E5B" w:rsidRDefault="002A2E5B" w:rsidP="002A2E5B">
      <w:pPr>
        <w:spacing w:before="100" w:beforeAutospacing="1" w:after="100" w:afterAutospacing="1"/>
        <w:ind w:left="360"/>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w:t>
      </w:r>
      <w:r w:rsidRPr="002A2E5B">
        <w:rPr>
          <w:rFonts w:ascii="Trebuchet MS" w:eastAsia="Times New Roman" w:hAnsi="Trebuchet MS" w:cs="Times New Roman"/>
          <w:sz w:val="21"/>
          <w:szCs w:val="21"/>
        </w:rPr>
        <w:tab/>
        <w:t>Prin scrisoare recomandată cu confirmare de primire</w:t>
      </w:r>
    </w:p>
    <w:p w:rsidR="002A2E5B" w:rsidRPr="002A2E5B" w:rsidRDefault="002A2E5B" w:rsidP="002A2E5B">
      <w:pPr>
        <w:spacing w:before="100" w:beforeAutospacing="1" w:after="100" w:afterAutospacing="1"/>
        <w:ind w:left="360"/>
        <w:jc w:val="both"/>
        <w:rPr>
          <w:rFonts w:ascii="Times New Roman" w:eastAsia="Times New Roman" w:hAnsi="Times New Roman" w:cs="Times New Roman"/>
          <w:sz w:val="24"/>
          <w:szCs w:val="24"/>
        </w:rPr>
      </w:pPr>
      <w:r w:rsidRPr="002A2E5B">
        <w:rPr>
          <w:rFonts w:ascii="Trebuchet MS" w:eastAsia="Times New Roman" w:hAnsi="Trebuchet MS" w:cs="Times New Roman"/>
          <w:sz w:val="21"/>
          <w:szCs w:val="21"/>
        </w:rPr>
        <w:t>•</w:t>
      </w:r>
      <w:r w:rsidRPr="002A2E5B">
        <w:rPr>
          <w:rFonts w:ascii="Trebuchet MS" w:eastAsia="Times New Roman" w:hAnsi="Trebuchet MS" w:cs="Times New Roman"/>
          <w:sz w:val="21"/>
          <w:szCs w:val="21"/>
        </w:rPr>
        <w:tab/>
        <w:t>Prin fax sau e-mail</w:t>
      </w:r>
    </w:p>
    <w:p w:rsidR="007852E7" w:rsidRDefault="007852E7"/>
    <w:sectPr w:rsidR="0078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31FC2"/>
    <w:multiLevelType w:val="multilevel"/>
    <w:tmpl w:val="1B4C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B42933"/>
    <w:multiLevelType w:val="multilevel"/>
    <w:tmpl w:val="A6B0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B"/>
    <w:rsid w:val="00060AD8"/>
    <w:rsid w:val="002A2E5B"/>
    <w:rsid w:val="0078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E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2E5B"/>
    <w:rPr>
      <w:color w:val="0000FF"/>
      <w:u w:val="single"/>
    </w:rPr>
  </w:style>
  <w:style w:type="character" w:customStyle="1" w:styleId="highlight">
    <w:name w:val="highlight"/>
    <w:basedOn w:val="DefaultParagraphFont"/>
    <w:rsid w:val="002A2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E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2E5B"/>
    <w:rPr>
      <w:color w:val="0000FF"/>
      <w:u w:val="single"/>
    </w:rPr>
  </w:style>
  <w:style w:type="character" w:customStyle="1" w:styleId="highlight">
    <w:name w:val="highlight"/>
    <w:basedOn w:val="DefaultParagraphFont"/>
    <w:rsid w:val="002A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3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3/Anexa_13_la_norme.doc" TargetMode="External"/><Relationship Id="rId3" Type="http://schemas.microsoft.com/office/2007/relationships/stylesWithEffects" Target="stylesWithEffects.xml"/><Relationship Id="rId7" Type="http://schemas.openxmlformats.org/officeDocument/2006/relationships/hyperlink" Target="https://www.anofm.ro/upload/3243/Cerere-_anexa_11_la_norm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ofm.ro/upload/3243/Plan_Mobilitate_H_G_903_2016.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PREDA</dc:creator>
  <cp:lastModifiedBy>MILICA POP</cp:lastModifiedBy>
  <cp:revision>2</cp:revision>
  <dcterms:created xsi:type="dcterms:W3CDTF">2023-07-04T07:16:00Z</dcterms:created>
  <dcterms:modified xsi:type="dcterms:W3CDTF">2023-07-04T07:31:00Z</dcterms:modified>
</cp:coreProperties>
</file>