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E6" w:rsidRPr="00D65DE6" w:rsidRDefault="00D65DE6" w:rsidP="00D65DE6">
      <w:pPr>
        <w:spacing w:after="0" w:line="240" w:lineRule="auto"/>
        <w:rPr>
          <w:rFonts w:ascii="Times New Roman" w:eastAsia="Times New Roman" w:hAnsi="Times New Roman" w:cs="Times New Roman"/>
          <w:sz w:val="24"/>
          <w:szCs w:val="24"/>
        </w:rPr>
      </w:pPr>
      <w:r w:rsidRPr="00D65DE6">
        <w:rPr>
          <w:rFonts w:ascii="Trebuchet MS" w:eastAsia="Times New Roman" w:hAnsi="Trebuchet MS" w:cs="Times New Roman"/>
          <w:b/>
          <w:sz w:val="21"/>
          <w:szCs w:val="21"/>
          <w:lang w:val="ro-RO"/>
        </w:rPr>
        <w:t>Prima de activare</w:t>
      </w:r>
      <w:r w:rsidRPr="00D65DE6">
        <w:rPr>
          <w:rFonts w:ascii="Times New Roman" w:eastAsia="Times New Roman" w:hAnsi="Times New Roman" w:cs="Times New Roman"/>
          <w:sz w:val="21"/>
          <w:szCs w:val="21"/>
        </w:rPr>
        <w:t xml:space="preserve"> </w:t>
      </w:r>
    </w:p>
    <w:p w:rsidR="00D65DE6" w:rsidRPr="00D65DE6" w:rsidRDefault="00D65DE6" w:rsidP="00D65DE6">
      <w:pPr>
        <w:spacing w:before="100" w:beforeAutospacing="1" w:after="100" w:afterAutospacing="1"/>
        <w:rPr>
          <w:rFonts w:ascii="Times New Roman" w:eastAsia="Times New Roman" w:hAnsi="Times New Roman" w:cs="Times New Roman"/>
          <w:sz w:val="24"/>
          <w:szCs w:val="24"/>
        </w:rPr>
      </w:pPr>
      <w:r w:rsidRPr="00D65DE6">
        <w:rPr>
          <w:rFonts w:ascii="Trebuchet MS" w:eastAsia="Times New Roman" w:hAnsi="Trebuchet MS" w:cs="Times New Roman"/>
          <w:sz w:val="21"/>
          <w:szCs w:val="21"/>
        </w:rPr>
        <w:t>prevăzută de art.73</w:t>
      </w:r>
      <w:r w:rsidRPr="00D65DE6">
        <w:rPr>
          <w:rFonts w:ascii="Trebuchet MS" w:eastAsia="Times New Roman" w:hAnsi="Trebuchet MS" w:cs="Times New Roman"/>
          <w:sz w:val="21"/>
          <w:szCs w:val="21"/>
          <w:vertAlign w:val="superscript"/>
        </w:rPr>
        <w:t>2</w:t>
      </w:r>
      <w:r w:rsidRPr="00D65DE6">
        <w:rPr>
          <w:rFonts w:ascii="Trebuchet MS" w:eastAsia="Times New Roman" w:hAnsi="Trebuchet MS" w:cs="Times New Roman"/>
          <w:sz w:val="21"/>
          <w:szCs w:val="21"/>
        </w:rPr>
        <w:t xml:space="preserve"> din Legea nr.76/2002 privind sistemul asigurărilor pentru șomaj și stimularea ocupării forței de muncă, cu modificările și completările ulterioare </w:t>
      </w:r>
    </w:p>
    <w:p w:rsidR="00D65DE6" w:rsidRPr="00D65DE6" w:rsidRDefault="00D65DE6" w:rsidP="00D65DE6">
      <w:pPr>
        <w:spacing w:before="100" w:beforeAutospacing="1" w:after="100" w:afterAutospacing="1"/>
        <w:jc w:val="both"/>
        <w:rPr>
          <w:rFonts w:ascii="Times New Roman" w:eastAsia="Times New Roman" w:hAnsi="Times New Roman" w:cs="Times New Roman"/>
          <w:sz w:val="24"/>
          <w:szCs w:val="24"/>
        </w:rPr>
      </w:pPr>
      <w:r w:rsidRPr="00D65DE6">
        <w:rPr>
          <w:rFonts w:ascii="Trebuchet MS" w:eastAsia="Times New Roman" w:hAnsi="Trebuchet MS" w:cs="Courier New"/>
          <w:sz w:val="21"/>
          <w:szCs w:val="21"/>
          <w:lang w:val="ro-RO"/>
        </w:rPr>
        <w:t>Șomerii înregistraţi la agenţiile pentru ocuparea forţei de muncă de cel puţin 30 de zile, care nu beneficiază de indemnizaţie de şomaj, în situaţia în care se angajează cu normă întreagă, pentru o perioadă mai mare de 3 luni, ulterior datei înregistrării la agenţiile pentru ocuparea forţei de muncă, beneficiază de o primă de activare în valoare de 1.000 lei, neimpozabilă.</w:t>
      </w:r>
    </w:p>
    <w:p w:rsidR="00D65DE6" w:rsidRPr="00D65DE6" w:rsidRDefault="00D65DE6" w:rsidP="00D65DE6">
      <w:pPr>
        <w:spacing w:before="100" w:beforeAutospacing="1" w:after="100" w:afterAutospacing="1"/>
        <w:jc w:val="both"/>
        <w:rPr>
          <w:rFonts w:ascii="Times New Roman" w:eastAsia="Times New Roman" w:hAnsi="Times New Roman" w:cs="Times New Roman"/>
          <w:sz w:val="24"/>
          <w:szCs w:val="24"/>
        </w:rPr>
      </w:pPr>
      <w:r w:rsidRPr="00D65DE6">
        <w:rPr>
          <w:rFonts w:ascii="Trebuchet MS" w:eastAsia="Times New Roman" w:hAnsi="Trebuchet MS" w:cs="Arial"/>
          <w:sz w:val="21"/>
          <w:szCs w:val="21"/>
          <w:lang w:val="en-GB"/>
        </w:rPr>
        <w:t>Persoanele care beneficiază de prima de activare au dreptul la menţinerea acesteia şi în situaţia în care, în perioada de 3 luni de la angajare, le încetează raportul de muncă sau de serviciu la primul angajator şi se încadrează, în termen de 30 de zile, la un alt angajator, în aceleaşi condiţii.</w:t>
      </w:r>
    </w:p>
    <w:p w:rsidR="00D65DE6" w:rsidRPr="00D65DE6" w:rsidRDefault="00D65DE6" w:rsidP="00D65DE6">
      <w:pPr>
        <w:spacing w:before="100" w:beforeAutospacing="1" w:after="100" w:afterAutospacing="1" w:line="207" w:lineRule="atLeast"/>
        <w:rPr>
          <w:rFonts w:ascii="Times New Roman" w:eastAsia="Times New Roman" w:hAnsi="Times New Roman" w:cs="Times New Roman"/>
          <w:sz w:val="24"/>
          <w:szCs w:val="24"/>
        </w:rPr>
      </w:pPr>
      <w:r w:rsidRPr="00D65DE6">
        <w:rPr>
          <w:rFonts w:ascii="Trebuchet MS" w:eastAsia="Times New Roman" w:hAnsi="Trebuchet MS" w:cs="Times New Roman"/>
          <w:b/>
          <w:bCs/>
          <w:sz w:val="21"/>
          <w:szCs w:val="21"/>
        </w:rPr>
        <w:t>Prima de activare se acordă persoanei care îndeplinește cumulativ următoarele condiții:</w:t>
      </w:r>
    </w:p>
    <w:p w:rsidR="00D65DE6" w:rsidRPr="00D65DE6" w:rsidRDefault="00D65DE6" w:rsidP="00D65DE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DE6">
        <w:rPr>
          <w:rFonts w:ascii="Times New Roman" w:eastAsia="Times New Roman" w:hAnsi="Times New Roman" w:cs="Times New Roman"/>
          <w:sz w:val="21"/>
          <w:szCs w:val="21"/>
        </w:rPr>
        <w:t>  </w:t>
      </w:r>
      <w:r w:rsidRPr="00D65DE6">
        <w:rPr>
          <w:rFonts w:ascii="Trebuchet MS" w:eastAsia="Times New Roman" w:hAnsi="Trebuchet MS" w:cs="Times New Roman"/>
          <w:sz w:val="21"/>
          <w:szCs w:val="21"/>
        </w:rPr>
        <w:t>Este înregistrată la agenţia pentru ocuparea forţei de muncă de cel puțin 30 de zile  şi nu beneficiează de indemnizaţie de şomaj</w:t>
      </w:r>
    </w:p>
    <w:p w:rsidR="00D65DE6" w:rsidRPr="00D65DE6" w:rsidRDefault="00D65DE6" w:rsidP="00D65D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5DE6">
        <w:rPr>
          <w:rFonts w:ascii="Trebuchet MS" w:eastAsia="Times New Roman" w:hAnsi="Trebuchet MS" w:cs="Times New Roman"/>
          <w:sz w:val="21"/>
          <w:szCs w:val="21"/>
        </w:rPr>
        <w:t> S-a angajat cu normă întreagă, pentru o perioadă  mai mare de 3 luni</w:t>
      </w:r>
    </w:p>
    <w:p w:rsidR="00D65DE6" w:rsidRPr="00D65DE6" w:rsidRDefault="00D65DE6" w:rsidP="00D65DE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5DE6">
        <w:rPr>
          <w:rFonts w:ascii="Times New Roman" w:eastAsia="Times New Roman" w:hAnsi="Times New Roman" w:cs="Times New Roman"/>
          <w:sz w:val="14"/>
          <w:szCs w:val="14"/>
        </w:rPr>
        <w:t>  </w:t>
      </w:r>
      <w:r w:rsidRPr="00D65DE6">
        <w:rPr>
          <w:rFonts w:ascii="Trebuchet MS" w:eastAsia="Times New Roman" w:hAnsi="Trebuchet MS" w:cs="Times New Roman"/>
          <w:sz w:val="21"/>
          <w:szCs w:val="21"/>
        </w:rPr>
        <w:t>În ultimele 12 luni anterioare angajării nu a lucrat la acel angajator</w:t>
      </w:r>
    </w:p>
    <w:p w:rsidR="00D65DE6" w:rsidRPr="00D65DE6" w:rsidRDefault="00D65DE6" w:rsidP="00D65DE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DE6">
        <w:rPr>
          <w:rFonts w:ascii="Times New Roman" w:eastAsia="Times New Roman" w:hAnsi="Times New Roman" w:cs="Times New Roman"/>
          <w:sz w:val="14"/>
          <w:szCs w:val="14"/>
        </w:rPr>
        <w:t>  </w:t>
      </w:r>
      <w:r w:rsidRPr="00D65DE6">
        <w:rPr>
          <w:rFonts w:ascii="Trebuchet MS" w:eastAsia="Times New Roman" w:hAnsi="Trebuchet MS" w:cs="Times New Roman"/>
          <w:sz w:val="21"/>
          <w:szCs w:val="21"/>
        </w:rPr>
        <w:t>Nu a beneficiat de primă de activare în ultimele 12 luni.</w:t>
      </w:r>
    </w:p>
    <w:p w:rsidR="00D65DE6" w:rsidRPr="00D65DE6" w:rsidRDefault="00D65DE6" w:rsidP="00D65DE6">
      <w:pPr>
        <w:spacing w:after="0" w:line="240" w:lineRule="auto"/>
        <w:rPr>
          <w:rFonts w:ascii="Times New Roman" w:eastAsia="Times New Roman" w:hAnsi="Times New Roman" w:cs="Times New Roman"/>
          <w:sz w:val="24"/>
          <w:szCs w:val="24"/>
        </w:rPr>
      </w:pPr>
    </w:p>
    <w:p w:rsidR="00D65DE6" w:rsidRPr="00D65DE6" w:rsidRDefault="00D65DE6" w:rsidP="00D65DE6">
      <w:pPr>
        <w:spacing w:after="0" w:line="240" w:lineRule="auto"/>
        <w:rPr>
          <w:rFonts w:ascii="Times New Roman" w:eastAsia="Times New Roman" w:hAnsi="Times New Roman" w:cs="Times New Roman"/>
          <w:sz w:val="24"/>
          <w:szCs w:val="24"/>
        </w:rPr>
      </w:pPr>
      <w:r w:rsidRPr="00D65DE6">
        <w:rPr>
          <w:rFonts w:ascii="Trebuchet MS" w:eastAsia="Times New Roman" w:hAnsi="Trebuchet MS" w:cs="Courier New"/>
          <w:b/>
          <w:bCs/>
          <w:sz w:val="21"/>
          <w:szCs w:val="21"/>
          <w:lang w:val="ro-RO"/>
        </w:rPr>
        <w:t>Prima de activare se acordă în două tranşe, astfel:</w:t>
      </w:r>
    </w:p>
    <w:p w:rsidR="00D65DE6" w:rsidRPr="00D65DE6" w:rsidRDefault="00D65DE6" w:rsidP="00D65DE6">
      <w:pPr>
        <w:spacing w:before="100" w:beforeAutospacing="1" w:after="100" w:afterAutospacing="1"/>
        <w:ind w:left="709"/>
        <w:jc w:val="both"/>
        <w:rPr>
          <w:rFonts w:ascii="Times New Roman" w:eastAsia="Times New Roman" w:hAnsi="Times New Roman" w:cs="Times New Roman"/>
          <w:sz w:val="24"/>
          <w:szCs w:val="24"/>
        </w:rPr>
      </w:pPr>
      <w:r w:rsidRPr="00D65DE6">
        <w:rPr>
          <w:rFonts w:ascii="Trebuchet MS" w:eastAsia="Times New Roman" w:hAnsi="Trebuchet MS" w:cs="Courier New"/>
          <w:sz w:val="21"/>
          <w:szCs w:val="21"/>
          <w:lang w:val="ro-RO"/>
        </w:rPr>
        <w:t>a) o tranşă egală cu 50% din cuantumul stabilit, la data angajării;</w:t>
      </w:r>
    </w:p>
    <w:p w:rsidR="00D65DE6" w:rsidRPr="00D65DE6" w:rsidRDefault="00D65DE6" w:rsidP="00D65DE6">
      <w:pPr>
        <w:spacing w:before="100" w:beforeAutospacing="1" w:after="100" w:afterAutospacing="1"/>
        <w:ind w:left="709"/>
        <w:jc w:val="both"/>
        <w:rPr>
          <w:rFonts w:ascii="Times New Roman" w:eastAsia="Times New Roman" w:hAnsi="Times New Roman" w:cs="Times New Roman"/>
          <w:sz w:val="24"/>
          <w:szCs w:val="24"/>
        </w:rPr>
      </w:pPr>
      <w:r w:rsidRPr="00D65DE6">
        <w:rPr>
          <w:rFonts w:ascii="Trebuchet MS" w:eastAsia="Times New Roman" w:hAnsi="Trebuchet MS" w:cs="Courier New"/>
          <w:sz w:val="21"/>
          <w:szCs w:val="21"/>
          <w:lang w:val="ro-RO"/>
        </w:rPr>
        <w:t>b) o tranşă egală cu 50% din cuantumul stabilit, după expirarea perioadei de 3 luni de la angajare.</w:t>
      </w:r>
    </w:p>
    <w:p w:rsidR="00D65DE6" w:rsidRPr="00D65DE6" w:rsidRDefault="00D65DE6" w:rsidP="00D65DE6">
      <w:pPr>
        <w:spacing w:before="100" w:beforeAutospacing="1" w:after="100" w:afterAutospacing="1"/>
        <w:rPr>
          <w:rFonts w:ascii="Times New Roman" w:eastAsia="Times New Roman" w:hAnsi="Times New Roman" w:cs="Times New Roman"/>
          <w:sz w:val="24"/>
          <w:szCs w:val="24"/>
        </w:rPr>
      </w:pPr>
      <w:r w:rsidRPr="00D65DE6">
        <w:rPr>
          <w:rFonts w:ascii="Trebuchet MS" w:eastAsia="Times New Roman" w:hAnsi="Trebuchet MS" w:cs="Arial"/>
          <w:sz w:val="21"/>
          <w:szCs w:val="21"/>
          <w:lang w:val="en-GB"/>
        </w:rPr>
        <w:t> </w:t>
      </w:r>
      <w:r w:rsidRPr="00D65DE6">
        <w:rPr>
          <w:rFonts w:ascii="Trebuchet MS" w:eastAsia="Times New Roman" w:hAnsi="Trebuchet MS" w:cs="Arial"/>
          <w:sz w:val="21"/>
          <w:szCs w:val="21"/>
          <w:lang w:val="en-GB"/>
        </w:rPr>
        <w:br/>
      </w:r>
      <w:r w:rsidRPr="00D65DE6">
        <w:rPr>
          <w:rFonts w:ascii="Trebuchet MS" w:eastAsia="Times New Roman" w:hAnsi="Trebuchet MS" w:cs="Times New Roman"/>
          <w:b/>
          <w:bCs/>
          <w:sz w:val="21"/>
          <w:szCs w:val="21"/>
        </w:rPr>
        <w:t>Nu beneficiază de prima de activare:</w:t>
      </w:r>
    </w:p>
    <w:p w:rsidR="00D65DE6" w:rsidRPr="00D65DE6" w:rsidRDefault="00D65DE6" w:rsidP="00D65DE6">
      <w:pPr>
        <w:spacing w:before="100" w:beforeAutospacing="1" w:after="100" w:afterAutospacing="1" w:line="240" w:lineRule="auto"/>
        <w:jc w:val="both"/>
        <w:rPr>
          <w:rFonts w:ascii="Times New Roman" w:eastAsia="Times New Roman" w:hAnsi="Times New Roman" w:cs="Times New Roman"/>
          <w:sz w:val="24"/>
          <w:szCs w:val="24"/>
        </w:rPr>
      </w:pPr>
      <w:r w:rsidRPr="00D65DE6">
        <w:rPr>
          <w:rFonts w:ascii="Trebuchet MS" w:eastAsia="Times New Roman" w:hAnsi="Trebuchet MS" w:cs="Courier New"/>
          <w:sz w:val="24"/>
          <w:szCs w:val="24"/>
          <w:lang w:val="ro-RO"/>
        </w:rPr>
        <w:t>           </w:t>
      </w:r>
      <w:r w:rsidRPr="00D65DE6">
        <w:rPr>
          <w:rFonts w:ascii="Trebuchet MS" w:eastAsia="Times New Roman" w:hAnsi="Trebuchet MS" w:cs="Courier New"/>
          <w:sz w:val="21"/>
          <w:szCs w:val="21"/>
          <w:lang w:val="ro-RO"/>
        </w:rPr>
        <w:t>a) persoanele care se încadrează în muncă, conform legii, pe perioadă determinată de cel mult 3 luni, iar ulterior încadrării în muncă se schimbă durata încadrării în muncă pe perioadă determinată mai mare de 3 luni sau nedeterminată;</w:t>
      </w:r>
    </w:p>
    <w:p w:rsidR="00D65DE6" w:rsidRPr="00D65DE6" w:rsidRDefault="00D65DE6" w:rsidP="00D65DE6">
      <w:pPr>
        <w:spacing w:before="100" w:beforeAutospacing="1" w:after="100" w:afterAutospacing="1" w:line="240" w:lineRule="auto"/>
        <w:jc w:val="both"/>
        <w:rPr>
          <w:rFonts w:ascii="Times New Roman" w:eastAsia="Times New Roman" w:hAnsi="Times New Roman" w:cs="Times New Roman"/>
          <w:sz w:val="24"/>
          <w:szCs w:val="24"/>
        </w:rPr>
      </w:pPr>
      <w:r w:rsidRPr="00D65DE6">
        <w:rPr>
          <w:rFonts w:ascii="Trebuchet MS" w:eastAsia="Times New Roman" w:hAnsi="Trebuchet MS" w:cs="Courier New"/>
          <w:sz w:val="21"/>
          <w:szCs w:val="21"/>
          <w:lang w:val="ro-RO"/>
        </w:rPr>
        <w:t>           b) persoanele care se încadrează în muncă, conform legii, pentru o perioadă mai mare de 3 luni, în termen de 30 de zile de la data încetării plăţii indemnizaţiei de şomaj conform art. 44 lit.l) din Legea 76/2002.</w:t>
      </w:r>
    </w:p>
    <w:p w:rsidR="00D65DE6" w:rsidRPr="00D65DE6" w:rsidRDefault="00D65DE6" w:rsidP="00D65DE6">
      <w:pPr>
        <w:spacing w:after="0" w:line="240" w:lineRule="auto"/>
        <w:rPr>
          <w:rFonts w:ascii="Times New Roman" w:eastAsia="Times New Roman" w:hAnsi="Times New Roman" w:cs="Times New Roman"/>
          <w:sz w:val="24"/>
          <w:szCs w:val="24"/>
        </w:rPr>
      </w:pPr>
    </w:p>
    <w:p w:rsidR="00D65DE6" w:rsidRPr="00D65DE6" w:rsidRDefault="00D65DE6" w:rsidP="00D65DE6">
      <w:pPr>
        <w:spacing w:after="0" w:line="240" w:lineRule="auto"/>
        <w:rPr>
          <w:rFonts w:ascii="Times New Roman" w:eastAsia="Times New Roman" w:hAnsi="Times New Roman" w:cs="Times New Roman"/>
          <w:sz w:val="24"/>
          <w:szCs w:val="24"/>
        </w:rPr>
      </w:pPr>
      <w:r w:rsidRPr="00D65DE6">
        <w:rPr>
          <w:rFonts w:ascii="Trebuchet MS" w:eastAsia="Times New Roman" w:hAnsi="Trebuchet MS" w:cs="Arial"/>
          <w:b/>
          <w:bCs/>
          <w:sz w:val="21"/>
          <w:szCs w:val="21"/>
          <w:lang w:val="en-GB"/>
        </w:rPr>
        <w:t>Documente necesare</w:t>
      </w:r>
    </w:p>
    <w:p w:rsidR="00D65DE6" w:rsidRPr="00D65DE6" w:rsidRDefault="00D65DE6" w:rsidP="00D65DE6">
      <w:pPr>
        <w:spacing w:before="100" w:beforeAutospacing="1" w:after="100" w:afterAutospacing="1" w:line="240" w:lineRule="auto"/>
        <w:rPr>
          <w:rFonts w:ascii="Times New Roman" w:eastAsia="Times New Roman" w:hAnsi="Times New Roman" w:cs="Times New Roman"/>
          <w:sz w:val="21"/>
          <w:szCs w:val="21"/>
        </w:rPr>
      </w:pPr>
      <w:r w:rsidRPr="00D65DE6">
        <w:rPr>
          <w:rFonts w:ascii="Trebuchet MS" w:eastAsia="Times New Roman" w:hAnsi="Trebuchet MS" w:cs="Arial"/>
          <w:sz w:val="21"/>
          <w:szCs w:val="21"/>
          <w:lang w:val="en-GB"/>
        </w:rPr>
        <w:lastRenderedPageBreak/>
        <w:t>Pentru acordarea primei de activare, persoanele vor depune la</w:t>
      </w:r>
      <w:r w:rsidRPr="00D65DE6">
        <w:rPr>
          <w:rFonts w:ascii="Trebuchet MS" w:eastAsia="Times New Roman" w:hAnsi="Trebuchet MS" w:cs="Times New Roman"/>
          <w:sz w:val="21"/>
          <w:szCs w:val="21"/>
        </w:rPr>
        <w:t xml:space="preserve"> agenţia pentru ocuparea forţei de muncă judeţeană, respectiv a municipiului Bucureşti, unde se află în evidenţă,</w:t>
      </w:r>
      <w:r w:rsidRPr="00D65DE6">
        <w:rPr>
          <w:rFonts w:ascii="Trebuchet MS" w:eastAsia="Times New Roman" w:hAnsi="Trebuchet MS" w:cs="Times New Roman"/>
          <w:b/>
          <w:bCs/>
          <w:sz w:val="21"/>
          <w:szCs w:val="21"/>
        </w:rPr>
        <w:t xml:space="preserve"> în termen de maximum 30 de zile de la data angajării</w:t>
      </w:r>
      <w:r w:rsidRPr="00D65DE6">
        <w:rPr>
          <w:rFonts w:ascii="Trebuchet MS" w:eastAsia="Times New Roman" w:hAnsi="Trebuchet MS" w:cs="Times New Roman"/>
          <w:sz w:val="21"/>
          <w:szCs w:val="21"/>
        </w:rPr>
        <w:t xml:space="preserve">, următoarele documente: </w:t>
      </w:r>
      <w:r w:rsidRPr="00D65DE6">
        <w:rPr>
          <w:rFonts w:ascii="Trebuchet MS" w:eastAsia="Times New Roman" w:hAnsi="Trebuchet MS" w:cs="Arial"/>
          <w:b/>
          <w:bCs/>
          <w:sz w:val="21"/>
          <w:szCs w:val="21"/>
          <w:lang w:val="en-GB"/>
        </w:rPr>
        <w:t>:</w:t>
      </w:r>
    </w:p>
    <w:p w:rsidR="00D65DE6" w:rsidRPr="00D65DE6" w:rsidRDefault="00D65DE6" w:rsidP="00D65DE6">
      <w:pPr>
        <w:tabs>
          <w:tab w:val="left" w:pos="993"/>
        </w:tabs>
        <w:spacing w:before="100" w:beforeAutospacing="1" w:after="100" w:afterAutospacing="1"/>
        <w:ind w:left="709"/>
        <w:jc w:val="both"/>
        <w:rPr>
          <w:rFonts w:ascii="Times New Roman" w:eastAsia="Times New Roman" w:hAnsi="Times New Roman" w:cs="Times New Roman"/>
          <w:sz w:val="24"/>
          <w:szCs w:val="24"/>
        </w:rPr>
      </w:pPr>
      <w:r w:rsidRPr="00D65DE6">
        <w:rPr>
          <w:rFonts w:ascii="Trebuchet MS" w:eastAsia="Trebuchet MS" w:hAnsi="Trebuchet MS" w:cs="Trebuchet MS"/>
          <w:sz w:val="21"/>
          <w:szCs w:val="21"/>
          <w:lang w:val="ro-RO"/>
        </w:rPr>
        <w:t>1.</w:t>
      </w:r>
      <w:r w:rsidRPr="00D65DE6">
        <w:rPr>
          <w:rFonts w:ascii="Times New Roman" w:eastAsia="Trebuchet MS" w:hAnsi="Times New Roman" w:cs="Times New Roman"/>
          <w:sz w:val="14"/>
          <w:szCs w:val="14"/>
          <w:lang w:val="ro-RO"/>
        </w:rPr>
        <w:t xml:space="preserve">  </w:t>
      </w:r>
      <w:r w:rsidRPr="00D65DE6">
        <w:rPr>
          <w:rFonts w:ascii="Trebuchet MS" w:eastAsia="Times New Roman" w:hAnsi="Trebuchet MS" w:cs="Times New Roman"/>
          <w:sz w:val="21"/>
          <w:szCs w:val="21"/>
          <w:lang w:val="ro-RO"/>
        </w:rPr>
        <w:t xml:space="preserve">Cerere – conform model – </w:t>
      </w:r>
      <w:hyperlink r:id="rId6" w:history="1">
        <w:r w:rsidRPr="00D65DE6">
          <w:rPr>
            <w:rFonts w:ascii="Trebuchet MS" w:eastAsia="Times New Roman" w:hAnsi="Trebuchet MS" w:cs="Times New Roman"/>
            <w:i/>
            <w:iCs/>
            <w:color w:val="0000FF"/>
            <w:sz w:val="21"/>
            <w:szCs w:val="21"/>
            <w:u w:val="single"/>
            <w:lang w:val="ro-RO"/>
          </w:rPr>
          <w:t>Anexa nr. 32 la norme</w:t>
        </w:r>
      </w:hyperlink>
    </w:p>
    <w:p w:rsidR="00D65DE6" w:rsidRPr="00D65DE6" w:rsidRDefault="00D65DE6" w:rsidP="00D65DE6">
      <w:pPr>
        <w:tabs>
          <w:tab w:val="left" w:pos="993"/>
        </w:tabs>
        <w:spacing w:before="100" w:beforeAutospacing="1" w:after="100" w:afterAutospacing="1"/>
        <w:ind w:left="993" w:hanging="284"/>
        <w:jc w:val="both"/>
        <w:rPr>
          <w:rFonts w:ascii="Times New Roman" w:eastAsia="Times New Roman" w:hAnsi="Times New Roman" w:cs="Times New Roman"/>
          <w:sz w:val="24"/>
          <w:szCs w:val="24"/>
        </w:rPr>
      </w:pPr>
      <w:r w:rsidRPr="00D65DE6">
        <w:rPr>
          <w:rFonts w:ascii="Trebuchet MS" w:eastAsia="Trebuchet MS" w:hAnsi="Trebuchet MS" w:cs="Trebuchet MS"/>
          <w:sz w:val="21"/>
          <w:szCs w:val="21"/>
          <w:lang w:val="ro-RO"/>
        </w:rPr>
        <w:t>2.</w:t>
      </w:r>
      <w:r w:rsidRPr="00D65DE6">
        <w:rPr>
          <w:rFonts w:ascii="Times New Roman" w:eastAsia="Trebuchet MS" w:hAnsi="Times New Roman" w:cs="Times New Roman"/>
          <w:sz w:val="14"/>
          <w:szCs w:val="14"/>
          <w:lang w:val="ro-RO"/>
        </w:rPr>
        <w:t xml:space="preserve">  </w:t>
      </w:r>
      <w:r w:rsidRPr="00D65DE6">
        <w:rPr>
          <w:rFonts w:ascii="Trebuchet MS" w:eastAsia="Times New Roman" w:hAnsi="Trebuchet MS" w:cs="Times New Roman"/>
          <w:sz w:val="21"/>
          <w:szCs w:val="21"/>
          <w:lang w:val="ro-RO"/>
        </w:rPr>
        <w:t>Actul în baza cărui persoana a fost încadrată în muncă sau d</w:t>
      </w:r>
      <w:r w:rsidR="00A2513F">
        <w:rPr>
          <w:rFonts w:ascii="Trebuchet MS" w:eastAsia="Times New Roman" w:hAnsi="Trebuchet MS" w:cs="Times New Roman"/>
          <w:sz w:val="21"/>
          <w:szCs w:val="21"/>
          <w:lang w:val="ro-RO"/>
        </w:rPr>
        <w:t xml:space="preserve">ovada emisă de angajator </w:t>
      </w:r>
      <w:bookmarkStart w:id="0" w:name="_GoBack"/>
      <w:bookmarkEnd w:id="0"/>
    </w:p>
    <w:p w:rsidR="00D65DE6" w:rsidRPr="00D65DE6" w:rsidRDefault="00D65DE6" w:rsidP="00D65DE6">
      <w:pPr>
        <w:tabs>
          <w:tab w:val="left" w:pos="993"/>
        </w:tabs>
        <w:spacing w:before="100" w:beforeAutospacing="1" w:after="100" w:afterAutospacing="1"/>
        <w:ind w:left="709"/>
        <w:jc w:val="both"/>
        <w:rPr>
          <w:rFonts w:ascii="Times New Roman" w:eastAsia="Times New Roman" w:hAnsi="Times New Roman" w:cs="Times New Roman"/>
          <w:sz w:val="24"/>
          <w:szCs w:val="24"/>
        </w:rPr>
      </w:pPr>
      <w:r w:rsidRPr="00D65DE6">
        <w:rPr>
          <w:rFonts w:ascii="Trebuchet MS" w:eastAsia="Trebuchet MS" w:hAnsi="Trebuchet MS" w:cs="Trebuchet MS"/>
          <w:sz w:val="21"/>
          <w:szCs w:val="21"/>
          <w:lang w:val="ro-RO"/>
        </w:rPr>
        <w:t>3.</w:t>
      </w:r>
      <w:r w:rsidRPr="00D65DE6">
        <w:rPr>
          <w:rFonts w:ascii="Times New Roman" w:eastAsia="Trebuchet MS" w:hAnsi="Times New Roman" w:cs="Times New Roman"/>
          <w:sz w:val="14"/>
          <w:szCs w:val="14"/>
          <w:lang w:val="ro-RO"/>
        </w:rPr>
        <w:t xml:space="preserve">  </w:t>
      </w:r>
      <w:r w:rsidRPr="00D65DE6">
        <w:rPr>
          <w:rFonts w:ascii="Trebuchet MS" w:eastAsia="Times New Roman" w:hAnsi="Trebuchet MS" w:cs="Times New Roman"/>
          <w:sz w:val="21"/>
          <w:szCs w:val="21"/>
          <w:lang w:val="ro-RO"/>
        </w:rPr>
        <w:t xml:space="preserve">Angajament - confom model – </w:t>
      </w:r>
      <w:hyperlink r:id="rId7" w:history="1">
        <w:r w:rsidRPr="00D65DE6">
          <w:rPr>
            <w:rFonts w:ascii="Trebuchet MS" w:eastAsia="Times New Roman" w:hAnsi="Trebuchet MS" w:cs="Times New Roman"/>
            <w:i/>
            <w:iCs/>
            <w:color w:val="0000FF"/>
            <w:sz w:val="21"/>
            <w:szCs w:val="21"/>
            <w:u w:val="single"/>
            <w:lang w:val="ro-RO"/>
          </w:rPr>
          <w:t>Anexa nr. 33 la norme</w:t>
        </w:r>
      </w:hyperlink>
      <w:r w:rsidRPr="00D65DE6">
        <w:rPr>
          <w:rFonts w:ascii="Trebuchet MS" w:eastAsia="Times New Roman" w:hAnsi="Trebuchet MS" w:cs="Times New Roman"/>
          <w:i/>
          <w:iCs/>
          <w:sz w:val="21"/>
          <w:szCs w:val="21"/>
          <w:u w:val="single"/>
          <w:lang w:val="ro-RO"/>
        </w:rPr>
        <w:t xml:space="preserve"> </w:t>
      </w:r>
    </w:p>
    <w:p w:rsidR="00D65DE6" w:rsidRPr="00D65DE6" w:rsidRDefault="00D65DE6" w:rsidP="00D65DE6">
      <w:pPr>
        <w:tabs>
          <w:tab w:val="left" w:pos="993"/>
        </w:tabs>
        <w:spacing w:before="100" w:beforeAutospacing="1" w:after="100" w:afterAutospacing="1"/>
        <w:ind w:left="993" w:hanging="284"/>
        <w:jc w:val="both"/>
        <w:rPr>
          <w:rFonts w:ascii="Times New Roman" w:eastAsia="Times New Roman" w:hAnsi="Times New Roman" w:cs="Times New Roman"/>
          <w:sz w:val="24"/>
          <w:szCs w:val="24"/>
        </w:rPr>
      </w:pPr>
      <w:r w:rsidRPr="00D65DE6">
        <w:rPr>
          <w:rFonts w:ascii="Trebuchet MS" w:eastAsia="Trebuchet MS" w:hAnsi="Trebuchet MS" w:cs="Trebuchet MS"/>
          <w:i/>
          <w:sz w:val="21"/>
          <w:szCs w:val="21"/>
          <w:lang w:val="ro-RO"/>
        </w:rPr>
        <w:t>4.</w:t>
      </w:r>
      <w:r w:rsidRPr="00D65DE6">
        <w:rPr>
          <w:rFonts w:ascii="Times New Roman" w:eastAsia="Trebuchet MS" w:hAnsi="Times New Roman" w:cs="Times New Roman"/>
          <w:i/>
          <w:sz w:val="14"/>
          <w:szCs w:val="14"/>
          <w:lang w:val="ro-RO"/>
        </w:rPr>
        <w:t xml:space="preserve">  </w:t>
      </w:r>
      <w:r w:rsidRPr="00D65DE6">
        <w:rPr>
          <w:rFonts w:ascii="Trebuchet MS" w:eastAsia="Times New Roman" w:hAnsi="Trebuchet MS" w:cs="Times New Roman"/>
          <w:sz w:val="21"/>
          <w:szCs w:val="21"/>
          <w:lang w:val="ro-RO"/>
        </w:rPr>
        <w:t xml:space="preserve">Declaraţie pe propria răspundere a angajatorului din care să rezulte că în ultimele 12 luni anterioare angajării, acesta nu a mai fost în raporturi de muncă sau de serviciu cu persoana respectivă </w:t>
      </w:r>
    </w:p>
    <w:p w:rsidR="00D65DE6" w:rsidRPr="00D65DE6" w:rsidRDefault="00D65DE6" w:rsidP="00D65DE6">
      <w:pPr>
        <w:tabs>
          <w:tab w:val="left" w:pos="993"/>
        </w:tabs>
        <w:spacing w:before="100" w:beforeAutospacing="1" w:after="100" w:afterAutospacing="1"/>
        <w:ind w:left="993" w:hanging="284"/>
        <w:jc w:val="both"/>
        <w:rPr>
          <w:rFonts w:ascii="Times New Roman" w:eastAsia="Times New Roman" w:hAnsi="Times New Roman" w:cs="Times New Roman"/>
          <w:sz w:val="24"/>
          <w:szCs w:val="24"/>
        </w:rPr>
      </w:pPr>
      <w:r w:rsidRPr="00D65DE6">
        <w:rPr>
          <w:rFonts w:ascii="Trebuchet MS" w:eastAsia="Trebuchet MS" w:hAnsi="Trebuchet MS" w:cs="Trebuchet MS"/>
          <w:i/>
          <w:sz w:val="21"/>
          <w:szCs w:val="21"/>
          <w:lang w:val="ro-RO"/>
        </w:rPr>
        <w:t>5.</w:t>
      </w:r>
      <w:r w:rsidRPr="00D65DE6">
        <w:rPr>
          <w:rFonts w:ascii="Times New Roman" w:eastAsia="Trebuchet MS" w:hAnsi="Times New Roman" w:cs="Times New Roman"/>
          <w:i/>
          <w:sz w:val="14"/>
          <w:szCs w:val="14"/>
          <w:lang w:val="ro-RO"/>
        </w:rPr>
        <w:t xml:space="preserve">  </w:t>
      </w:r>
      <w:r w:rsidRPr="00D65DE6">
        <w:rPr>
          <w:rFonts w:ascii="Trebuchet MS" w:eastAsia="Times New Roman" w:hAnsi="Trebuchet MS" w:cs="Times New Roman"/>
          <w:sz w:val="21"/>
          <w:szCs w:val="21"/>
          <w:lang w:val="ro-RO"/>
        </w:rPr>
        <w:t>Declaraţie pe proprie răspundere din care s</w:t>
      </w:r>
      <w:r w:rsidRPr="00D65DE6">
        <w:rPr>
          <w:rFonts w:ascii="Trebuchet MS" w:eastAsia="Times New Roman" w:hAnsi="Trebuchet MS" w:cs="Times New Roman"/>
          <w:sz w:val="21"/>
          <w:szCs w:val="21"/>
        </w:rPr>
        <w:t>ă</w:t>
      </w:r>
      <w:r w:rsidRPr="00D65DE6">
        <w:rPr>
          <w:rFonts w:ascii="Trebuchet MS" w:eastAsia="Times New Roman" w:hAnsi="Trebuchet MS" w:cs="Times New Roman"/>
          <w:sz w:val="21"/>
          <w:szCs w:val="21"/>
          <w:lang w:val="ro-RO"/>
        </w:rPr>
        <w:t xml:space="preserve"> rezulte ca persoana solicitantă nu a mai beneficiat de prima de activare în ultimele 12 luni anterioare angajării</w:t>
      </w:r>
    </w:p>
    <w:p w:rsidR="00D65DE6" w:rsidRPr="00D65DE6" w:rsidRDefault="00D65DE6" w:rsidP="00D65DE6">
      <w:pPr>
        <w:tabs>
          <w:tab w:val="left" w:pos="993"/>
        </w:tabs>
        <w:spacing w:before="100" w:beforeAutospacing="1" w:after="100" w:afterAutospacing="1"/>
        <w:jc w:val="both"/>
        <w:rPr>
          <w:rFonts w:ascii="Times New Roman" w:eastAsia="Times New Roman" w:hAnsi="Times New Roman" w:cs="Times New Roman"/>
          <w:sz w:val="24"/>
          <w:szCs w:val="24"/>
        </w:rPr>
      </w:pPr>
    </w:p>
    <w:p w:rsidR="00D65DE6" w:rsidRPr="00D65DE6" w:rsidRDefault="00D65DE6" w:rsidP="00D65DE6">
      <w:pPr>
        <w:spacing w:before="100" w:beforeAutospacing="1" w:after="100" w:afterAutospacing="1"/>
        <w:rPr>
          <w:rFonts w:ascii="Times New Roman" w:eastAsia="Times New Roman" w:hAnsi="Times New Roman" w:cs="Times New Roman"/>
          <w:sz w:val="24"/>
          <w:szCs w:val="24"/>
        </w:rPr>
      </w:pPr>
      <w:r w:rsidRPr="00D65DE6">
        <w:rPr>
          <w:rFonts w:ascii="Trebuchet MS" w:eastAsia="Times New Roman" w:hAnsi="Trebuchet MS" w:cs="Times New Roman"/>
          <w:b/>
          <w:sz w:val="21"/>
          <w:szCs w:val="21"/>
          <w:lang w:val="ro-RO"/>
        </w:rPr>
        <w:t>Depunerea documentelor</w:t>
      </w:r>
    </w:p>
    <w:p w:rsidR="00D65DE6" w:rsidRPr="00D65DE6" w:rsidRDefault="00D65DE6" w:rsidP="00D65DE6">
      <w:pPr>
        <w:tabs>
          <w:tab w:val="left" w:pos="993"/>
        </w:tabs>
        <w:spacing w:before="100" w:beforeAutospacing="1" w:after="100" w:afterAutospacing="1"/>
        <w:ind w:left="709"/>
        <w:rPr>
          <w:rFonts w:ascii="Times New Roman" w:eastAsia="Times New Roman" w:hAnsi="Times New Roman" w:cs="Times New Roman"/>
          <w:sz w:val="24"/>
          <w:szCs w:val="24"/>
        </w:rPr>
      </w:pPr>
      <w:r w:rsidRPr="00D65DE6">
        <w:rPr>
          <w:rFonts w:ascii="Trebuchet MS" w:eastAsia="Times New Roman" w:hAnsi="Trebuchet MS" w:cs="Times New Roman"/>
          <w:sz w:val="21"/>
          <w:szCs w:val="21"/>
          <w:lang w:val="ro-RO"/>
        </w:rPr>
        <w:t>•</w:t>
      </w:r>
      <w:r w:rsidRPr="00D65DE6">
        <w:rPr>
          <w:rFonts w:ascii="Trebuchet MS" w:eastAsia="Times New Roman" w:hAnsi="Trebuchet MS" w:cs="Times New Roman"/>
          <w:sz w:val="21"/>
          <w:szCs w:val="21"/>
          <w:lang w:val="ro-RO"/>
        </w:rPr>
        <w:tab/>
        <w:t xml:space="preserve">Personal – la sediul agenţiei </w:t>
      </w:r>
    </w:p>
    <w:p w:rsidR="00D65DE6" w:rsidRPr="00D65DE6" w:rsidRDefault="00D65DE6" w:rsidP="00D65DE6">
      <w:pPr>
        <w:tabs>
          <w:tab w:val="left" w:pos="993"/>
        </w:tabs>
        <w:spacing w:before="100" w:beforeAutospacing="1" w:after="100" w:afterAutospacing="1"/>
        <w:ind w:left="709"/>
        <w:rPr>
          <w:rFonts w:ascii="Times New Roman" w:eastAsia="Times New Roman" w:hAnsi="Times New Roman" w:cs="Times New Roman"/>
          <w:sz w:val="24"/>
          <w:szCs w:val="24"/>
        </w:rPr>
      </w:pPr>
      <w:r w:rsidRPr="00D65DE6">
        <w:rPr>
          <w:rFonts w:ascii="Trebuchet MS" w:eastAsia="Times New Roman" w:hAnsi="Trebuchet MS" w:cs="Times New Roman"/>
          <w:sz w:val="21"/>
          <w:szCs w:val="21"/>
          <w:lang w:val="ro-RO"/>
        </w:rPr>
        <w:t>•</w:t>
      </w:r>
      <w:r w:rsidRPr="00D65DE6">
        <w:rPr>
          <w:rFonts w:ascii="Trebuchet MS" w:eastAsia="Times New Roman" w:hAnsi="Trebuchet MS" w:cs="Times New Roman"/>
          <w:sz w:val="21"/>
          <w:szCs w:val="21"/>
          <w:lang w:val="ro-RO"/>
        </w:rPr>
        <w:tab/>
        <w:t>Prin scrisoare recomandată cu confirmare de primire</w:t>
      </w:r>
    </w:p>
    <w:p w:rsidR="00D65DE6" w:rsidRPr="00D65DE6" w:rsidRDefault="00D65DE6" w:rsidP="00D65DE6">
      <w:pPr>
        <w:tabs>
          <w:tab w:val="left" w:pos="993"/>
        </w:tabs>
        <w:spacing w:before="100" w:beforeAutospacing="1" w:after="100" w:afterAutospacing="1"/>
        <w:ind w:left="709"/>
        <w:rPr>
          <w:rFonts w:ascii="Times New Roman" w:eastAsia="Times New Roman" w:hAnsi="Times New Roman" w:cs="Times New Roman"/>
          <w:sz w:val="24"/>
          <w:szCs w:val="24"/>
        </w:rPr>
      </w:pPr>
      <w:r w:rsidRPr="00D65DE6">
        <w:rPr>
          <w:rFonts w:ascii="Trebuchet MS" w:eastAsia="Times New Roman" w:hAnsi="Trebuchet MS" w:cs="Times New Roman"/>
          <w:sz w:val="21"/>
          <w:szCs w:val="21"/>
          <w:lang w:val="ro-RO"/>
        </w:rPr>
        <w:t>•</w:t>
      </w:r>
      <w:r w:rsidRPr="00D65DE6">
        <w:rPr>
          <w:rFonts w:ascii="Trebuchet MS" w:eastAsia="Times New Roman" w:hAnsi="Trebuchet MS" w:cs="Times New Roman"/>
          <w:sz w:val="21"/>
          <w:szCs w:val="21"/>
          <w:lang w:val="ro-RO"/>
        </w:rPr>
        <w:tab/>
        <w:t>Prin fax sau e-mail</w:t>
      </w:r>
    </w:p>
    <w:p w:rsidR="007852E7" w:rsidRDefault="007852E7"/>
    <w:sectPr w:rsidR="00785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478D"/>
    <w:multiLevelType w:val="multilevel"/>
    <w:tmpl w:val="6562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50130"/>
    <w:multiLevelType w:val="multilevel"/>
    <w:tmpl w:val="7086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BC1A04"/>
    <w:multiLevelType w:val="multilevel"/>
    <w:tmpl w:val="6B6A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30C6A"/>
    <w:multiLevelType w:val="multilevel"/>
    <w:tmpl w:val="F9B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E6"/>
    <w:rsid w:val="007852E7"/>
    <w:rsid w:val="00A2513F"/>
    <w:rsid w:val="00D6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D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5D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D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5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84112">
      <w:bodyDiv w:val="1"/>
      <w:marLeft w:val="0"/>
      <w:marRight w:val="0"/>
      <w:marTop w:val="0"/>
      <w:marBottom w:val="0"/>
      <w:divBdr>
        <w:top w:val="none" w:sz="0" w:space="0" w:color="auto"/>
        <w:left w:val="none" w:sz="0" w:space="0" w:color="auto"/>
        <w:bottom w:val="none" w:sz="0" w:space="0" w:color="auto"/>
        <w:right w:val="none" w:sz="0" w:space="0" w:color="auto"/>
      </w:divBdr>
      <w:divsChild>
        <w:div w:id="234970490">
          <w:marLeft w:val="0"/>
          <w:marRight w:val="0"/>
          <w:marTop w:val="0"/>
          <w:marBottom w:val="0"/>
          <w:divBdr>
            <w:top w:val="none" w:sz="0" w:space="0" w:color="auto"/>
            <w:left w:val="none" w:sz="0" w:space="0" w:color="auto"/>
            <w:bottom w:val="none" w:sz="0" w:space="0" w:color="auto"/>
            <w:right w:val="none" w:sz="0" w:space="0" w:color="auto"/>
          </w:divBdr>
        </w:div>
        <w:div w:id="726073608">
          <w:marLeft w:val="0"/>
          <w:marRight w:val="0"/>
          <w:marTop w:val="0"/>
          <w:marBottom w:val="0"/>
          <w:divBdr>
            <w:top w:val="none" w:sz="0" w:space="0" w:color="auto"/>
            <w:left w:val="none" w:sz="0" w:space="0" w:color="auto"/>
            <w:bottom w:val="none" w:sz="0" w:space="0" w:color="auto"/>
            <w:right w:val="none" w:sz="0" w:space="0" w:color="auto"/>
          </w:divBdr>
        </w:div>
        <w:div w:id="677850568">
          <w:marLeft w:val="0"/>
          <w:marRight w:val="0"/>
          <w:marTop w:val="0"/>
          <w:marBottom w:val="0"/>
          <w:divBdr>
            <w:top w:val="none" w:sz="0" w:space="0" w:color="auto"/>
            <w:left w:val="none" w:sz="0" w:space="0" w:color="auto"/>
            <w:bottom w:val="none" w:sz="0" w:space="0" w:color="auto"/>
            <w:right w:val="none" w:sz="0" w:space="0" w:color="auto"/>
          </w:divBdr>
        </w:div>
        <w:div w:id="1540623396">
          <w:marLeft w:val="0"/>
          <w:marRight w:val="0"/>
          <w:marTop w:val="0"/>
          <w:marBottom w:val="0"/>
          <w:divBdr>
            <w:top w:val="none" w:sz="0" w:space="0" w:color="auto"/>
            <w:left w:val="none" w:sz="0" w:space="0" w:color="auto"/>
            <w:bottom w:val="none" w:sz="0" w:space="0" w:color="auto"/>
            <w:right w:val="none" w:sz="0" w:space="0" w:color="auto"/>
          </w:divBdr>
        </w:div>
        <w:div w:id="139638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nofm.ro/upload/3245/Anexa_33_la_norm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ofm.ro/upload/3245/Anexa_32_la_norme.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PREDA</dc:creator>
  <cp:lastModifiedBy>MILICA POP</cp:lastModifiedBy>
  <cp:revision>2</cp:revision>
  <dcterms:created xsi:type="dcterms:W3CDTF">2023-07-04T07:15:00Z</dcterms:created>
  <dcterms:modified xsi:type="dcterms:W3CDTF">2023-07-04T07:29:00Z</dcterms:modified>
</cp:coreProperties>
</file>