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86" w:rsidRDefault="003E0486" w:rsidP="003E0486">
      <w:pPr>
        <w:tabs>
          <w:tab w:val="left" w:pos="1320"/>
        </w:tabs>
        <w:autoSpaceDE w:val="0"/>
        <w:autoSpaceDN w:val="0"/>
        <w:adjustRightInd w:val="0"/>
        <w:spacing w:line="276" w:lineRule="auto"/>
        <w:jc w:val="center"/>
        <w:rPr>
          <w:rFonts w:ascii="Trebuchet MS" w:eastAsia="Arial Unicode MS" w:hAnsi="Trebuchet MS"/>
          <w:b/>
          <w:color w:val="000000"/>
          <w:sz w:val="22"/>
          <w:szCs w:val="22"/>
        </w:rPr>
      </w:pP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t>A</w:t>
      </w:r>
      <w:r w:rsidRPr="007F0148">
        <w:rPr>
          <w:rFonts w:ascii="Trebuchet MS" w:eastAsia="Arial Unicode MS" w:hAnsi="Trebuchet MS"/>
          <w:b/>
          <w:color w:val="000000"/>
          <w:sz w:val="22"/>
          <w:szCs w:val="22"/>
        </w:rPr>
        <w:t xml:space="preserve">nexa nr. </w:t>
      </w:r>
      <w:r>
        <w:rPr>
          <w:rFonts w:ascii="Trebuchet MS" w:eastAsia="Arial Unicode MS" w:hAnsi="Trebuchet MS"/>
          <w:b/>
          <w:color w:val="000000"/>
          <w:sz w:val="22"/>
          <w:szCs w:val="22"/>
        </w:rPr>
        <w:t>3</w:t>
      </w:r>
      <w:r w:rsidRPr="007F0148">
        <w:rPr>
          <w:rFonts w:ascii="Trebuchet MS" w:eastAsia="Arial Unicode MS" w:hAnsi="Trebuchet MS"/>
          <w:b/>
          <w:color w:val="000000"/>
          <w:sz w:val="22"/>
          <w:szCs w:val="22"/>
        </w:rPr>
        <w:t xml:space="preserve"> </w:t>
      </w:r>
    </w:p>
    <w:p w:rsidR="003E0486" w:rsidRPr="007F0148" w:rsidRDefault="003E0486" w:rsidP="003E0486">
      <w:pPr>
        <w:tabs>
          <w:tab w:val="left" w:pos="1320"/>
        </w:tabs>
        <w:autoSpaceDE w:val="0"/>
        <w:autoSpaceDN w:val="0"/>
        <w:adjustRightInd w:val="0"/>
        <w:spacing w:line="276" w:lineRule="auto"/>
        <w:jc w:val="center"/>
        <w:rPr>
          <w:rFonts w:ascii="Trebuchet MS" w:eastAsia="Arial Unicode MS" w:hAnsi="Trebuchet MS"/>
          <w:b/>
          <w:color w:val="000000"/>
          <w:sz w:val="22"/>
          <w:szCs w:val="22"/>
        </w:rPr>
      </w:pPr>
    </w:p>
    <w:p w:rsidR="003E0486" w:rsidRPr="007853BA" w:rsidRDefault="003E0486" w:rsidP="003E0486">
      <w:pPr>
        <w:tabs>
          <w:tab w:val="left" w:pos="1320"/>
        </w:tabs>
        <w:autoSpaceDE w:val="0"/>
        <w:autoSpaceDN w:val="0"/>
        <w:adjustRightInd w:val="0"/>
        <w:spacing w:line="276" w:lineRule="auto"/>
        <w:jc w:val="center"/>
        <w:rPr>
          <w:rFonts w:ascii="Trebuchet MS" w:eastAsia="Arial Unicode MS" w:hAnsi="Trebuchet MS"/>
          <w:color w:val="000000"/>
          <w:sz w:val="20"/>
          <w:szCs w:val="20"/>
        </w:rPr>
      </w:pPr>
      <w:r>
        <w:rPr>
          <w:rFonts w:ascii="Trebuchet MS" w:eastAsia="Arial Unicode MS" w:hAnsi="Trebuchet MS"/>
          <w:b/>
          <w:color w:val="000000"/>
          <w:sz w:val="22"/>
          <w:szCs w:val="22"/>
        </w:rPr>
        <w:t xml:space="preserve">                                                                           </w:t>
      </w:r>
      <w:r>
        <w:rPr>
          <w:rFonts w:ascii="Trebuchet MS" w:eastAsia="Arial Unicode MS" w:hAnsi="Trebuchet MS"/>
          <w:b/>
          <w:color w:val="000000"/>
          <w:sz w:val="22"/>
          <w:szCs w:val="22"/>
        </w:rPr>
        <w:tab/>
      </w:r>
      <w:r>
        <w:rPr>
          <w:rFonts w:ascii="Trebuchet MS" w:eastAsia="Arial Unicode MS" w:hAnsi="Trebuchet MS"/>
          <w:b/>
          <w:color w:val="000000"/>
          <w:sz w:val="22"/>
          <w:szCs w:val="22"/>
        </w:rPr>
        <w:tab/>
        <w:t xml:space="preserve">                                    </w:t>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Pr>
          <w:rFonts w:ascii="Trebuchet MS" w:eastAsia="Arial Unicode MS" w:hAnsi="Trebuchet MS"/>
          <w:b/>
          <w:color w:val="000000"/>
          <w:sz w:val="22"/>
          <w:szCs w:val="22"/>
        </w:rPr>
        <w:tab/>
      </w:r>
      <w:r w:rsidRPr="007853BA">
        <w:rPr>
          <w:rFonts w:ascii="Trebuchet MS" w:eastAsia="Arial Unicode MS" w:hAnsi="Trebuchet MS"/>
          <w:color w:val="000000"/>
          <w:sz w:val="20"/>
          <w:szCs w:val="20"/>
        </w:rPr>
        <w:t>Nr.</w:t>
      </w:r>
      <w:r w:rsidRPr="007853BA">
        <w:rPr>
          <w:rFonts w:ascii="Trebuchet MS" w:eastAsia="Arial Unicode MS" w:hAnsi="Trebuchet MS"/>
          <w:b/>
          <w:color w:val="000000"/>
          <w:sz w:val="20"/>
          <w:szCs w:val="20"/>
        </w:rPr>
        <w:t xml:space="preserve"> </w:t>
      </w:r>
      <w:r>
        <w:rPr>
          <w:rFonts w:ascii="Trebuchet MS" w:eastAsia="Arial Unicode MS" w:hAnsi="Trebuchet MS"/>
          <w:color w:val="000000"/>
          <w:sz w:val="20"/>
          <w:szCs w:val="20"/>
        </w:rPr>
        <w:t>5</w:t>
      </w:r>
      <w:r w:rsidRPr="007853BA">
        <w:rPr>
          <w:rFonts w:ascii="Trebuchet MS" w:eastAsia="Arial Unicode MS" w:hAnsi="Trebuchet MS"/>
          <w:color w:val="000000"/>
          <w:sz w:val="20"/>
          <w:szCs w:val="20"/>
        </w:rPr>
        <w:t>/03.01.2023</w:t>
      </w:r>
    </w:p>
    <w:p w:rsidR="001144F3" w:rsidRPr="00A453F7" w:rsidRDefault="001144F3" w:rsidP="00D8747F">
      <w:pPr>
        <w:jc w:val="center"/>
        <w:rPr>
          <w:rFonts w:ascii="Arial" w:hAnsi="Arial" w:cs="Arial"/>
          <w:b/>
          <w:sz w:val="28"/>
          <w:szCs w:val="28"/>
        </w:rPr>
      </w:pPr>
    </w:p>
    <w:p w:rsidR="00D8747F" w:rsidRPr="00A453F7" w:rsidRDefault="00F7776C" w:rsidP="00B46B72">
      <w:pPr>
        <w:spacing w:line="276" w:lineRule="auto"/>
        <w:jc w:val="center"/>
        <w:rPr>
          <w:rFonts w:ascii="Arial" w:hAnsi="Arial" w:cs="Arial"/>
          <w:b/>
        </w:rPr>
      </w:pPr>
      <w:r w:rsidRPr="00A453F7">
        <w:rPr>
          <w:rFonts w:ascii="Arial" w:hAnsi="Arial" w:cs="Arial"/>
          <w:b/>
        </w:rPr>
        <w:t>Inventarul măsurilor preven</w:t>
      </w:r>
      <w:r w:rsidR="00B46B72">
        <w:rPr>
          <w:rFonts w:ascii="Arial" w:hAnsi="Arial" w:cs="Arial"/>
          <w:b/>
        </w:rPr>
        <w:t>tive şi indicatorii de evaluare</w:t>
      </w:r>
      <w:r w:rsidRPr="00A453F7">
        <w:rPr>
          <w:rFonts w:ascii="Arial" w:hAnsi="Arial" w:cs="Arial"/>
          <w:b/>
        </w:rPr>
        <w:t xml:space="preserve"> </w:t>
      </w:r>
    </w:p>
    <w:p w:rsidR="00D8747F" w:rsidRPr="00A453F7" w:rsidRDefault="00D8747F" w:rsidP="00B46B72">
      <w:pPr>
        <w:spacing w:line="276" w:lineRule="auto"/>
        <w:jc w:val="center"/>
        <w:rPr>
          <w:rFonts w:ascii="Arial" w:hAnsi="Arial" w:cs="Arial"/>
          <w:b/>
        </w:rPr>
      </w:pPr>
      <w:r w:rsidRPr="00A453F7">
        <w:rPr>
          <w:rFonts w:ascii="Arial" w:hAnsi="Arial" w:cs="Arial"/>
          <w:b/>
        </w:rPr>
        <w:t>la nivelul Agen</w:t>
      </w:r>
      <w:r w:rsidR="003113FA">
        <w:rPr>
          <w:rFonts w:ascii="Arial" w:hAnsi="Arial" w:cs="Arial"/>
          <w:b/>
        </w:rPr>
        <w:t>ţ</w:t>
      </w:r>
      <w:r w:rsidRPr="00A453F7">
        <w:rPr>
          <w:rFonts w:ascii="Arial" w:hAnsi="Arial" w:cs="Arial"/>
          <w:b/>
        </w:rPr>
        <w:t>iei Jude</w:t>
      </w:r>
      <w:r w:rsidR="003113FA">
        <w:rPr>
          <w:rFonts w:ascii="Arial" w:hAnsi="Arial" w:cs="Arial"/>
          <w:b/>
        </w:rPr>
        <w:t>ţ</w:t>
      </w:r>
      <w:r w:rsidRPr="00A453F7">
        <w:rPr>
          <w:rFonts w:ascii="Arial" w:hAnsi="Arial" w:cs="Arial"/>
          <w:b/>
        </w:rPr>
        <w:t>ene pentru Ocuparea For</w:t>
      </w:r>
      <w:r w:rsidR="003113FA">
        <w:rPr>
          <w:rFonts w:ascii="Arial" w:hAnsi="Arial" w:cs="Arial"/>
          <w:b/>
        </w:rPr>
        <w:t>ţ</w:t>
      </w:r>
      <w:r w:rsidRPr="00A453F7">
        <w:rPr>
          <w:rFonts w:ascii="Arial" w:hAnsi="Arial" w:cs="Arial"/>
          <w:b/>
        </w:rPr>
        <w:t>ei de Munc</w:t>
      </w:r>
      <w:r w:rsidR="003113FA">
        <w:rPr>
          <w:rFonts w:ascii="Arial" w:hAnsi="Arial" w:cs="Arial"/>
          <w:b/>
        </w:rPr>
        <w:t>ă</w:t>
      </w:r>
      <w:r w:rsidRPr="00A453F7">
        <w:rPr>
          <w:rFonts w:ascii="Arial" w:hAnsi="Arial" w:cs="Arial"/>
          <w:b/>
        </w:rPr>
        <w:t xml:space="preserve"> Arge</w:t>
      </w:r>
      <w:r w:rsidR="00B46B72">
        <w:rPr>
          <w:rFonts w:ascii="Arial" w:hAnsi="Arial" w:cs="Arial"/>
          <w:b/>
        </w:rPr>
        <w:t>ş</w:t>
      </w:r>
    </w:p>
    <w:p w:rsidR="00B46B72" w:rsidRPr="00A453F7" w:rsidRDefault="00B46B72" w:rsidP="00B46B72">
      <w:pPr>
        <w:spacing w:line="276" w:lineRule="auto"/>
        <w:jc w:val="center"/>
        <w:rPr>
          <w:rFonts w:ascii="Arial" w:hAnsi="Arial" w:cs="Arial"/>
          <w:b/>
        </w:rPr>
      </w:pPr>
      <w:r w:rsidRPr="00A453F7">
        <w:rPr>
          <w:rFonts w:ascii="Arial" w:hAnsi="Arial" w:cs="Arial"/>
          <w:b/>
        </w:rPr>
        <w:t>pentru anul 202</w:t>
      </w:r>
      <w:r>
        <w:rPr>
          <w:rFonts w:ascii="Arial" w:hAnsi="Arial" w:cs="Arial"/>
          <w:b/>
        </w:rPr>
        <w:t>2</w:t>
      </w:r>
    </w:p>
    <w:p w:rsidR="005135F1" w:rsidRPr="00A453F7" w:rsidRDefault="005135F1" w:rsidP="00D8747F">
      <w:pPr>
        <w:jc w:val="center"/>
        <w:rPr>
          <w:rFonts w:ascii="Arial" w:hAnsi="Arial" w:cs="Arial"/>
          <w:b/>
          <w:sz w:val="28"/>
          <w:szCs w:val="28"/>
        </w:rPr>
      </w:pPr>
    </w:p>
    <w:p w:rsidR="006C7DB9" w:rsidRPr="00A453F7" w:rsidRDefault="005205CC" w:rsidP="005205CC">
      <w:pPr>
        <w:jc w:val="center"/>
        <w:rPr>
          <w:rFonts w:ascii="Arial" w:hAnsi="Arial" w:cs="Arial"/>
          <w:b/>
          <w:sz w:val="20"/>
          <w:szCs w:val="20"/>
        </w:rPr>
      </w:pPr>
      <w:r w:rsidRPr="00A453F7">
        <w:rPr>
          <w:rFonts w:ascii="Arial" w:hAnsi="Arial" w:cs="Arial"/>
          <w:b/>
          <w:sz w:val="20"/>
          <w:szCs w:val="20"/>
        </w:rPr>
        <w:t xml:space="preserve">                                                                                                                                                                    </w:t>
      </w:r>
    </w:p>
    <w:tbl>
      <w:tblPr>
        <w:tblW w:w="141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2271"/>
        <w:gridCol w:w="5113"/>
        <w:gridCol w:w="4859"/>
        <w:gridCol w:w="1348"/>
      </w:tblGrid>
      <w:tr w:rsidR="001D5B64" w:rsidRPr="00A453F7" w:rsidTr="000D3712">
        <w:trPr>
          <w:trHeight w:val="338"/>
        </w:trPr>
        <w:tc>
          <w:tcPr>
            <w:tcW w:w="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Nr.</w:t>
            </w:r>
          </w:p>
        </w:tc>
        <w:tc>
          <w:tcPr>
            <w:tcW w:w="2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Măsură preventivă</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Sediul materiei</w:t>
            </w:r>
          </w:p>
        </w:tc>
        <w:tc>
          <w:tcPr>
            <w:tcW w:w="4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Indicatori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Total</w:t>
            </w:r>
          </w:p>
        </w:tc>
      </w:tr>
      <w:tr w:rsidR="001D5B64" w:rsidRPr="00A453F7" w:rsidTr="000D3712">
        <w:trPr>
          <w:trHeight w:val="21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 xml:space="preserve">1.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Cod etic/deontologic/de conduită</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Legea nr. 7/2004</w:t>
            </w:r>
            <w:r w:rsidRPr="00E048AE">
              <w:rPr>
                <w:rFonts w:ascii="Arial" w:hAnsi="Arial" w:cs="Arial"/>
                <w:sz w:val="22"/>
                <w:szCs w:val="22"/>
                <w:lang w:eastAsia="en-US"/>
              </w:rPr>
              <w:t xml:space="preserve"> </w:t>
            </w:r>
            <w:r w:rsidRPr="00E048AE">
              <w:rPr>
                <w:rFonts w:ascii="Arial" w:hAnsi="Arial" w:cs="Arial"/>
                <w:sz w:val="22"/>
                <w:szCs w:val="22"/>
              </w:rPr>
              <w:t>privind Codul de conduită a funcţionarilor publici, republicată</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Legea nr. 477/2004 privind Codul de conduită a personalului contractual din autorităţile şi instituţiile publice</w:t>
            </w:r>
          </w:p>
          <w:p w:rsidR="001D5B64" w:rsidRPr="00E048AE" w:rsidRDefault="0056394B">
            <w:pPr>
              <w:spacing w:after="120" w:line="276" w:lineRule="auto"/>
              <w:jc w:val="both"/>
              <w:rPr>
                <w:rFonts w:ascii="Arial" w:hAnsi="Arial" w:cs="Arial"/>
                <w:sz w:val="22"/>
                <w:szCs w:val="22"/>
              </w:rPr>
            </w:pPr>
            <w:r w:rsidRPr="00E048AE">
              <w:rPr>
                <w:rFonts w:ascii="Arial" w:hAnsi="Arial" w:cs="Arial"/>
                <w:sz w:val="22"/>
                <w:szCs w:val="22"/>
              </w:rPr>
              <w:t>Legea nr.</w:t>
            </w:r>
            <w:r w:rsidR="00F7776C" w:rsidRPr="00E048AE">
              <w:rPr>
                <w:rFonts w:ascii="Arial" w:hAnsi="Arial" w:cs="Arial"/>
                <w:sz w:val="22"/>
                <w:szCs w:val="22"/>
              </w:rPr>
              <w:t>303/2004</w:t>
            </w:r>
            <w:r w:rsidR="00F7776C" w:rsidRPr="00E048AE">
              <w:rPr>
                <w:rFonts w:ascii="Arial" w:hAnsi="Arial" w:cs="Arial"/>
                <w:sz w:val="22"/>
                <w:szCs w:val="22"/>
                <w:lang w:eastAsia="en-US"/>
              </w:rPr>
              <w:t xml:space="preserve"> </w:t>
            </w:r>
            <w:r w:rsidR="00F7776C" w:rsidRPr="00E048AE">
              <w:rPr>
                <w:rFonts w:ascii="Arial" w:hAnsi="Arial" w:cs="Arial"/>
                <w:sz w:val="22"/>
                <w:szCs w:val="22"/>
              </w:rPr>
              <w:t>privind statutul judecătorilor şi procurorilor, republicată, cu modificările şi completările ulterioare</w:t>
            </w:r>
          </w:p>
          <w:p w:rsidR="001D5B64" w:rsidRPr="00E048AE" w:rsidRDefault="0056394B">
            <w:pPr>
              <w:spacing w:after="120" w:line="276" w:lineRule="auto"/>
              <w:jc w:val="both"/>
              <w:rPr>
                <w:rFonts w:ascii="Arial" w:hAnsi="Arial" w:cs="Arial"/>
                <w:sz w:val="22"/>
                <w:szCs w:val="22"/>
              </w:rPr>
            </w:pPr>
            <w:r w:rsidRPr="00E048AE">
              <w:rPr>
                <w:rFonts w:ascii="Arial" w:hAnsi="Arial" w:cs="Arial"/>
                <w:sz w:val="22"/>
                <w:szCs w:val="22"/>
              </w:rPr>
              <w:t>Hotărârea Guvernului nr.</w:t>
            </w:r>
            <w:r w:rsidR="00E048AE" w:rsidRPr="00E048AE">
              <w:rPr>
                <w:rFonts w:ascii="Arial" w:hAnsi="Arial" w:cs="Arial"/>
                <w:sz w:val="22"/>
                <w:szCs w:val="22"/>
              </w:rPr>
              <w:t xml:space="preserve"> </w:t>
            </w:r>
            <w:r w:rsidR="00F7776C" w:rsidRPr="00E048AE">
              <w:rPr>
                <w:rFonts w:ascii="Arial" w:hAnsi="Arial" w:cs="Arial"/>
                <w:sz w:val="22"/>
                <w:szCs w:val="22"/>
              </w:rPr>
              <w:t>991/2005 pentru aprobarea Codului de etică şi deontologie al poliţistului</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Hotărârea Consiliulu</w:t>
            </w:r>
            <w:r w:rsidR="0056394B" w:rsidRPr="00E048AE">
              <w:rPr>
                <w:rFonts w:ascii="Arial" w:hAnsi="Arial" w:cs="Arial"/>
                <w:sz w:val="22"/>
                <w:szCs w:val="22"/>
              </w:rPr>
              <w:t>i Superior al Magistraturii nr.</w:t>
            </w:r>
            <w:r w:rsidRPr="00E048AE">
              <w:rPr>
                <w:rFonts w:ascii="Arial" w:hAnsi="Arial" w:cs="Arial"/>
                <w:sz w:val="22"/>
                <w:szCs w:val="22"/>
              </w:rPr>
              <w:t>328/2005 pentru aprobarea Codului deontologic al judecătorilor şi procurorilor</w:t>
            </w:r>
          </w:p>
          <w:p w:rsidR="00AE57DB" w:rsidRPr="00E048AE" w:rsidRDefault="00F7776C" w:rsidP="00AE57DB">
            <w:pPr>
              <w:spacing w:after="120" w:line="276" w:lineRule="auto"/>
              <w:jc w:val="both"/>
              <w:rPr>
                <w:rFonts w:ascii="Arial" w:hAnsi="Arial" w:cs="Arial"/>
                <w:sz w:val="22"/>
                <w:szCs w:val="22"/>
              </w:rPr>
            </w:pPr>
            <w:r w:rsidRPr="00E048AE">
              <w:rPr>
                <w:rFonts w:ascii="Arial" w:hAnsi="Arial" w:cs="Arial"/>
                <w:sz w:val="22"/>
                <w:szCs w:val="22"/>
              </w:rPr>
              <w:t>Ordinul Secretaria</w:t>
            </w:r>
            <w:r w:rsidR="004535D7" w:rsidRPr="00E048AE">
              <w:rPr>
                <w:rFonts w:ascii="Arial" w:hAnsi="Arial" w:cs="Arial"/>
                <w:sz w:val="22"/>
                <w:szCs w:val="22"/>
              </w:rPr>
              <w:t xml:space="preserve">tului General al Guvernului </w:t>
            </w:r>
            <w:r w:rsidR="004535D7" w:rsidRPr="00E048AE">
              <w:rPr>
                <w:rFonts w:ascii="Arial" w:hAnsi="Arial" w:cs="Arial"/>
                <w:sz w:val="22"/>
                <w:szCs w:val="22"/>
              </w:rPr>
              <w:lastRenderedPageBreak/>
              <w:t>nr.</w:t>
            </w:r>
            <w:r w:rsidR="00AE57DB" w:rsidRPr="00E048AE">
              <w:rPr>
                <w:rFonts w:ascii="Arial" w:hAnsi="Arial" w:cs="Arial"/>
                <w:sz w:val="22"/>
                <w:szCs w:val="22"/>
              </w:rPr>
              <w:t>600/2018</w:t>
            </w:r>
            <w:r w:rsidRPr="00E048AE">
              <w:rPr>
                <w:rFonts w:ascii="Arial" w:hAnsi="Arial" w:cs="Arial"/>
                <w:sz w:val="22"/>
                <w:szCs w:val="22"/>
              </w:rPr>
              <w:t xml:space="preserve"> pentru aprob</w:t>
            </w:r>
            <w:r w:rsidR="00E37E83" w:rsidRPr="00E048AE">
              <w:rPr>
                <w:rFonts w:ascii="Arial" w:hAnsi="Arial" w:cs="Arial"/>
                <w:sz w:val="22"/>
                <w:szCs w:val="22"/>
              </w:rPr>
              <w:t xml:space="preserve">area Codului controlului intern </w:t>
            </w:r>
            <w:r w:rsidRPr="00E048AE">
              <w:rPr>
                <w:rFonts w:ascii="Arial" w:hAnsi="Arial" w:cs="Arial"/>
                <w:sz w:val="22"/>
                <w:szCs w:val="22"/>
              </w:rPr>
              <w:t xml:space="preserve">managerial al entităților </w:t>
            </w:r>
            <w:r w:rsidR="00AE57DB" w:rsidRPr="00E048AE">
              <w:rPr>
                <w:rFonts w:ascii="Arial" w:hAnsi="Arial" w:cs="Arial"/>
                <w:sz w:val="22"/>
                <w:szCs w:val="22"/>
              </w:rPr>
              <w:t>publice</w:t>
            </w:r>
          </w:p>
          <w:p w:rsidR="001D5B64" w:rsidRPr="00E048AE" w:rsidRDefault="00F7776C" w:rsidP="00AE57DB">
            <w:pPr>
              <w:spacing w:after="120" w:line="276" w:lineRule="auto"/>
              <w:jc w:val="both"/>
              <w:rPr>
                <w:rFonts w:ascii="Arial" w:hAnsi="Arial" w:cs="Arial"/>
                <w:sz w:val="22"/>
                <w:szCs w:val="22"/>
              </w:rPr>
            </w:pPr>
            <w:r w:rsidRPr="00E048AE">
              <w:rPr>
                <w:rFonts w:ascii="Arial" w:hAnsi="Arial" w:cs="Arial"/>
                <w:sz w:val="22"/>
                <w:szCs w:val="22"/>
              </w:rPr>
              <w:t xml:space="preserve">Ordine interne/memorandumuri  </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lastRenderedPageBreak/>
              <w:t>1. Număr de sesizări privind încălcări ale normelor</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sesizări în curs de soluţionare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sesizări soluţionate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Durata procedurilor</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decizii prin care s-a confirmat încălcarea normei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6. Număr de măsuri dispuse diferenţiate pe tipuri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decizii ale comisiei anulate sau modificate în instanţă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Gradul de cunoaştere de către angajaţi a normelor (chestionare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B1628">
            <w:pPr>
              <w:spacing w:line="276" w:lineRule="auto"/>
              <w:jc w:val="both"/>
              <w:rPr>
                <w:rFonts w:ascii="Arial" w:hAnsi="Arial" w:cs="Arial"/>
                <w:sz w:val="22"/>
                <w:szCs w:val="22"/>
              </w:rPr>
            </w:pPr>
            <w:r w:rsidRPr="00A453F7">
              <w:rPr>
                <w:rFonts w:ascii="Arial" w:hAnsi="Arial" w:cs="Arial"/>
                <w:sz w:val="22"/>
                <w:szCs w:val="22"/>
              </w:rPr>
              <w:t>100</w:t>
            </w:r>
            <w:r w:rsidR="006848C7" w:rsidRPr="00A453F7">
              <w:rPr>
                <w:rFonts w:ascii="Arial" w:hAnsi="Arial" w:cs="Arial"/>
                <w:sz w:val="22"/>
                <w:szCs w:val="22"/>
              </w:rPr>
              <w:t>%</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activităţi de formare privind normele de conduită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10.Număr de persoane care au fost instruite prin intermediul acţiunilor de formare </w:t>
            </w:r>
            <w:r w:rsidRPr="00A453F7">
              <w:rPr>
                <w:rFonts w:ascii="Arial" w:hAnsi="Arial" w:cs="Arial"/>
                <w:sz w:val="22"/>
                <w:szCs w:val="22"/>
              </w:rPr>
              <w:lastRenderedPageBreak/>
              <w:t>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lastRenderedPageBreak/>
              <w:t>0</w:t>
            </w:r>
          </w:p>
        </w:tc>
      </w:tr>
      <w:tr w:rsidR="001D5B64" w:rsidRPr="00A453F7" w:rsidTr="000D3712">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11. Număr de măsuri administrative adoptate pentru înlăturarea cauzelor sau circumstanţelor care au favorizat încălcarea normelor</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12.Număr de persoane per instituţie care au săvârşit abateri disciplinare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13. Număr de persoane care au săvârşit în mod repetat abateri de la normele respective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B92FBC">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0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 xml:space="preserve">2.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 xml:space="preserve">Declararea averilor </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F7776C" w:rsidRPr="00E048AE">
              <w:rPr>
                <w:rFonts w:ascii="Arial" w:hAnsi="Arial" w:cs="Arial"/>
                <w:sz w:val="22"/>
                <w:szCs w:val="22"/>
              </w:rPr>
              <w:t>161/2003 privind unele măsuri pentru asigurarea transparenţei în exercitarea demnităţilor publice, a funcţiilor publice şi în mediul de afaceri, prevenirea şi sancţionarea corupţiei, cu modificările şi completările ulterioare</w:t>
            </w:r>
          </w:p>
          <w:p w:rsidR="001D5B64" w:rsidRPr="00E048AE" w:rsidRDefault="001D5B64">
            <w:pPr>
              <w:spacing w:line="276" w:lineRule="auto"/>
              <w:jc w:val="center"/>
              <w:rPr>
                <w:rFonts w:ascii="Arial" w:hAnsi="Arial" w:cs="Arial"/>
                <w:sz w:val="22"/>
                <w:szCs w:val="22"/>
              </w:rPr>
            </w:pPr>
          </w:p>
          <w:p w:rsidR="001D5B64" w:rsidRPr="00E048AE" w:rsidRDefault="00F7776C">
            <w:pPr>
              <w:spacing w:line="276" w:lineRule="auto"/>
              <w:jc w:val="center"/>
              <w:rPr>
                <w:rFonts w:ascii="Arial" w:hAnsi="Arial" w:cs="Arial"/>
                <w:sz w:val="22"/>
                <w:szCs w:val="22"/>
              </w:rPr>
            </w:pPr>
            <w:r w:rsidRPr="00E048AE">
              <w:rPr>
                <w:rFonts w:ascii="Arial" w:hAnsi="Arial" w:cs="Arial"/>
                <w:sz w:val="22"/>
                <w:szCs w:val="22"/>
              </w:rPr>
              <w:t xml:space="preserve"> </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persoane care au obligaţia depunerii declaraţiei de avere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B1076A" w:rsidRDefault="006848C7" w:rsidP="00FB7AC7">
            <w:pPr>
              <w:spacing w:line="276" w:lineRule="auto"/>
              <w:jc w:val="both"/>
              <w:rPr>
                <w:rFonts w:ascii="Arial" w:hAnsi="Arial" w:cs="Arial"/>
                <w:sz w:val="22"/>
                <w:szCs w:val="22"/>
              </w:rPr>
            </w:pPr>
            <w:r w:rsidRPr="00B1076A">
              <w:rPr>
                <w:rFonts w:ascii="Arial" w:hAnsi="Arial" w:cs="Arial"/>
                <w:sz w:val="22"/>
                <w:szCs w:val="22"/>
              </w:rPr>
              <w:t>4</w:t>
            </w:r>
            <w:r w:rsidR="00EB1628" w:rsidRPr="00B1076A">
              <w:rPr>
                <w:rFonts w:ascii="Arial" w:hAnsi="Arial" w:cs="Arial"/>
                <w:sz w:val="22"/>
                <w:szCs w:val="22"/>
              </w:rPr>
              <w:t>7</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2. Număr de persoane care nu au depus în termen declaraţii de avere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3. Număr de persoane care nu au depus declaraţii de avere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3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Număr de sesizări ale ANI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B1628">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6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decizii ANI ca urmare a sesizărilor transmise de instituţie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decizii ale ANI puse în aplicare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hotărâri ale instanţelor de judecată ca urmare a sesizărilor ANI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măsuri administrative adoptate pentru înlăturarea cauzelor sau circumstanţelor care au favorizat încălcarea normelor privind declararea averilor</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9. Număr de consultaţii oferite de persoanele responsabile pentru implementarea prevederilor legale privind declaraţiile de avere şi declaraţiile de interese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10. Gradul de cunoaştere de către angajaţi a </w:t>
            </w:r>
            <w:r w:rsidRPr="00A453F7">
              <w:rPr>
                <w:rFonts w:ascii="Arial" w:hAnsi="Arial" w:cs="Arial"/>
                <w:sz w:val="22"/>
                <w:szCs w:val="22"/>
              </w:rPr>
              <w:lastRenderedPageBreak/>
              <w:t>normelor privind declararea averilor (chestionar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972B80">
            <w:pPr>
              <w:spacing w:line="276" w:lineRule="auto"/>
              <w:jc w:val="both"/>
              <w:rPr>
                <w:rFonts w:ascii="Arial" w:hAnsi="Arial" w:cs="Arial"/>
                <w:sz w:val="22"/>
                <w:szCs w:val="22"/>
              </w:rPr>
            </w:pPr>
            <w:r w:rsidRPr="00A453F7">
              <w:rPr>
                <w:rFonts w:ascii="Arial" w:hAnsi="Arial" w:cs="Arial"/>
                <w:sz w:val="22"/>
                <w:szCs w:val="22"/>
              </w:rPr>
              <w:lastRenderedPageBreak/>
              <w:t>100</w:t>
            </w:r>
            <w:r w:rsidR="006848C7" w:rsidRPr="00A453F7">
              <w:rPr>
                <w:rFonts w:ascii="Arial" w:hAnsi="Arial" w:cs="Arial"/>
                <w:sz w:val="22"/>
                <w:szCs w:val="22"/>
              </w:rPr>
              <w:t>%</w:t>
            </w:r>
          </w:p>
        </w:tc>
      </w:tr>
      <w:tr w:rsidR="001D5B64" w:rsidRPr="00A453F7" w:rsidTr="000D3712">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11. Număr de activităţi de formare privind declaraţiile de avere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3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12.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3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3.</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 xml:space="preserve">Declararea cadourilor </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6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251/2004 privind unele măsuri referitoare la bunurile primite cu titlu gratuit cu prilejul unor acţiuni de protocol în exercitarea mandatului sau a funcţiei</w:t>
            </w:r>
          </w:p>
          <w:p w:rsidR="001D5B64" w:rsidRPr="00E048AE" w:rsidRDefault="001D5B64">
            <w:pPr>
              <w:spacing w:after="60" w:line="276" w:lineRule="auto"/>
              <w:jc w:val="center"/>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cadouri primite şi înregistrate în registru</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3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after="60"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Publicarea anuală a inventarului pe site-ul instituţiei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after="60"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situaţii în care s-a achiziţionat cadoul</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after="60"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Valoarea cadourilor achiziţionate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after="60"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Valoarea cadourilor primite (per cadou şi în total)</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after="60"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Valoarea bunurilor valorificate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4.</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 xml:space="preserve">Conflicte de interese </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lastRenderedPageBreak/>
              <w:t>Codul penal</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lastRenderedPageBreak/>
              <w:t xml:space="preserve">1. Număr de declaraţii de abţinere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3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situaţii în care superiorul ierarhic a dispus înlocuirea persoanei aflată în situaţia de potenţial conflict de interese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sesizări primite de instituţie de la terţe persoane cu privire la existenţa unui conflict de interese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Număr de decizii ANI prin care s-a constatat starea de conflict de interese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sesizări ale parchetului privind posibila săvârşire a infracţiunii de conflicte de interese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rechizitorii/condamnări privind săvârşirea infracţiunii de conflicte de interese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2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Gradul de cunoaştere de către angajaţi a normelor privind conflictul de interese (chestionar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activităţi de formare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10. Nr. de proceduri de achiziție analizate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11. Nr. de avertismente de integritate emise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12. Nr. de conflicte de interese prevenite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3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5.</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Consilier de etică</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188/1999</w:t>
            </w:r>
            <w:r w:rsidR="00F7776C" w:rsidRPr="00E048AE">
              <w:rPr>
                <w:rFonts w:ascii="Arial" w:hAnsi="Arial" w:cs="Arial"/>
                <w:sz w:val="22"/>
                <w:szCs w:val="22"/>
                <w:lang w:eastAsia="en-US"/>
              </w:rPr>
              <w:t xml:space="preserve"> </w:t>
            </w:r>
            <w:r w:rsidR="00F7776C" w:rsidRPr="00E048AE">
              <w:rPr>
                <w:rFonts w:ascii="Arial" w:hAnsi="Arial" w:cs="Arial"/>
                <w:sz w:val="22"/>
                <w:szCs w:val="22"/>
              </w:rPr>
              <w:t>privind Statutul funcţionarilor publici, republicată, cu modificările şi completările ulterioare</w:t>
            </w:r>
          </w:p>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7/2004 privind Codul de conduită a funcţionarilor publici, republicată</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bCs/>
                <w:sz w:val="22"/>
                <w:szCs w:val="22"/>
              </w:rPr>
            </w:pPr>
            <w:r w:rsidRPr="00A453F7">
              <w:rPr>
                <w:rFonts w:ascii="Arial" w:hAnsi="Arial" w:cs="Arial"/>
                <w:sz w:val="22"/>
                <w:szCs w:val="22"/>
              </w:rPr>
              <w:t>1. Număr de şedinţe de consultare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angajaţi care au beneficiat de consiliere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speţe, diferenţiate pe tipologii de dileme etice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Gradul de cunoaştere de către angajaţi a normelor privind consilierul etic (chestionar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972B80">
            <w:pPr>
              <w:spacing w:line="276" w:lineRule="auto"/>
              <w:jc w:val="both"/>
              <w:rPr>
                <w:rFonts w:ascii="Arial" w:hAnsi="Arial" w:cs="Arial"/>
                <w:sz w:val="22"/>
                <w:szCs w:val="22"/>
              </w:rPr>
            </w:pPr>
            <w:r w:rsidRPr="00A453F7">
              <w:rPr>
                <w:rFonts w:ascii="Arial" w:hAnsi="Arial" w:cs="Arial"/>
                <w:sz w:val="22"/>
                <w:szCs w:val="22"/>
              </w:rPr>
              <w:t>100</w:t>
            </w:r>
            <w:r w:rsidR="006848C7" w:rsidRPr="00A453F7">
              <w:rPr>
                <w:rFonts w:ascii="Arial" w:hAnsi="Arial" w:cs="Arial"/>
                <w:sz w:val="22"/>
                <w:szCs w:val="22"/>
              </w:rPr>
              <w:t>%</w:t>
            </w:r>
          </w:p>
        </w:tc>
      </w:tr>
      <w:tr w:rsidR="001D5B64" w:rsidRPr="00A453F7" w:rsidTr="000D3712">
        <w:trPr>
          <w:trHeight w:val="23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Gradul de popularizare a rolului consilierului de etică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B1628">
            <w:pPr>
              <w:spacing w:line="276" w:lineRule="auto"/>
              <w:jc w:val="both"/>
              <w:rPr>
                <w:rFonts w:ascii="Arial" w:hAnsi="Arial" w:cs="Arial"/>
                <w:sz w:val="22"/>
                <w:szCs w:val="22"/>
              </w:rPr>
            </w:pPr>
            <w:r w:rsidRPr="00A453F7">
              <w:rPr>
                <w:rFonts w:ascii="Arial" w:hAnsi="Arial" w:cs="Arial"/>
                <w:sz w:val="22"/>
                <w:szCs w:val="22"/>
              </w:rPr>
              <w:t>100</w:t>
            </w:r>
            <w:r w:rsidR="006848C7" w:rsidRPr="00A453F7">
              <w:rPr>
                <w:rFonts w:ascii="Arial" w:hAnsi="Arial" w:cs="Arial"/>
                <w:sz w:val="22"/>
                <w:szCs w:val="22"/>
              </w:rPr>
              <w:t>%</w:t>
            </w:r>
          </w:p>
        </w:tc>
      </w:tr>
      <w:tr w:rsidR="001D5B64" w:rsidRPr="00A453F7" w:rsidTr="000D3712">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activităţi de formare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60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0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6.</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 xml:space="preserve">Incompatibilităţi </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12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 xml:space="preserve">176/2010 privind integritatea în exercitarea funcţiilor şi demnităţilor publice, pentru modificarea şi completarea Legii nr. 144/2007 </w:t>
            </w:r>
            <w:r w:rsidR="00F7776C" w:rsidRPr="00E048AE">
              <w:rPr>
                <w:rFonts w:ascii="Arial" w:hAnsi="Arial" w:cs="Arial"/>
                <w:sz w:val="22"/>
                <w:szCs w:val="22"/>
              </w:rPr>
              <w:lastRenderedPageBreak/>
              <w:t>privind înfiinţarea, organizarea şi funcţionarea Agenţiei Naţionale de Integritate, precum şi pentru modificarea şi completarea altor acte normative</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lastRenderedPageBreak/>
              <w:t>1. Număr de persoane aflate în stare de incompatibilitate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2. Număr de sesizări ale ANI formulate de către </w:t>
            </w:r>
            <w:r w:rsidRPr="00A453F7">
              <w:rPr>
                <w:rFonts w:ascii="Arial" w:hAnsi="Arial" w:cs="Arial"/>
                <w:sz w:val="22"/>
                <w:szCs w:val="22"/>
              </w:rPr>
              <w:lastRenderedPageBreak/>
              <w:t xml:space="preserve">instituţie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lastRenderedPageBreak/>
              <w:t>0</w:t>
            </w:r>
          </w:p>
        </w:tc>
      </w:tr>
      <w:tr w:rsidR="001D5B64" w:rsidRPr="00A453F7" w:rsidTr="000D3712">
        <w:trPr>
          <w:trHeight w:val="4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sesizări primite de instituţie de la terţe persoane cu privire la existenţa unei incompatibilităţi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Număr de decizii ale ANI cu privire la constatarea unor incompatibilităţi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decizii confirmate de instanță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măsuri administrative adoptate pentru înlăturarea cauzelor sau circumstanţelor care au favorizat încălcarea normelor privind incompatibilităţile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Gradul de cunoaştere de către angajaţi a normelor privind conflictul de interese (chestionar de evaluare)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B1628">
            <w:pPr>
              <w:spacing w:line="276" w:lineRule="auto"/>
              <w:jc w:val="both"/>
              <w:rPr>
                <w:rFonts w:ascii="Arial" w:hAnsi="Arial" w:cs="Arial"/>
                <w:sz w:val="22"/>
                <w:szCs w:val="22"/>
              </w:rPr>
            </w:pPr>
            <w:r w:rsidRPr="00A453F7">
              <w:rPr>
                <w:rFonts w:ascii="Arial" w:hAnsi="Arial" w:cs="Arial"/>
                <w:sz w:val="22"/>
                <w:szCs w:val="22"/>
              </w:rPr>
              <w:t>100</w:t>
            </w:r>
            <w:r w:rsidR="008B39BA" w:rsidRPr="00A453F7">
              <w:rPr>
                <w:rFonts w:ascii="Arial" w:hAnsi="Arial" w:cs="Arial"/>
                <w:sz w:val="22"/>
                <w:szCs w:val="22"/>
              </w:rPr>
              <w:t>%</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activităţi de formare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 xml:space="preserve">7.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Transparenţă în procesul decizional</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after="60"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52/2003 privind transparenţa decizională în administraţia publică, cu modificările şi completările ulterioare</w:t>
            </w:r>
          </w:p>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proiecte de acte normative adoptate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anunţuri publice privind proiectele de acte normative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0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recomandări transmise de societatea civilă privind completarea sau modificarea proiectelor de acte normative, diferenţiate pe tipologii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6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4. Gradul de acceptare şi preluare al recomandărilor formulate de societatea civilă cu privire la proiectele de acte normative </w:t>
            </w:r>
            <w:r w:rsidRPr="00A453F7">
              <w:rPr>
                <w:rFonts w:ascii="Arial" w:hAnsi="Arial" w:cs="Arial"/>
                <w:sz w:val="22"/>
                <w:szCs w:val="22"/>
              </w:rPr>
              <w:lastRenderedPageBreak/>
              <w:t>supuse consultării publice (ca procent între numărul total de recomandări transmise şi numărul de propuneri efectiv preluate)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534A3C">
            <w:pPr>
              <w:spacing w:line="276" w:lineRule="auto"/>
              <w:jc w:val="both"/>
              <w:rPr>
                <w:rFonts w:ascii="Arial" w:hAnsi="Arial" w:cs="Arial"/>
                <w:sz w:val="22"/>
                <w:szCs w:val="22"/>
              </w:rPr>
            </w:pPr>
            <w:r>
              <w:rPr>
                <w:rFonts w:ascii="Arial" w:hAnsi="Arial" w:cs="Arial"/>
                <w:sz w:val="22"/>
                <w:szCs w:val="22"/>
              </w:rPr>
              <w:lastRenderedPageBreak/>
              <w:t>Nu este cazul</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proiecte de acte normative modificate în urma procesului de consultare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propuneri, sugestii sau opinii preluate în forma finală a actului normativ</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răspunsuri la propunerile, sugestiile sau opiniile nepreluate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şedinţe publice organizate la inițiativa instituției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participanţi la şedinţele publice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lang w:eastAsia="en-US"/>
              </w:rPr>
              <w:t>10.Număr de cetățeni/organizații neguvernamentale înscrise în baza de date a instituției pentru a fi informate în legătură cu proiectele de acte normative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lang w:eastAsia="en-US"/>
              </w:rPr>
            </w:pPr>
            <w:r w:rsidRPr="00A453F7">
              <w:rPr>
                <w:rFonts w:ascii="Arial" w:hAnsi="Arial" w:cs="Arial"/>
                <w:sz w:val="22"/>
                <w:szCs w:val="22"/>
                <w:lang w:eastAsia="en-US"/>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lang w:eastAsia="en-US"/>
              </w:rPr>
            </w:pPr>
            <w:r w:rsidRPr="00A453F7">
              <w:rPr>
                <w:rFonts w:ascii="Arial" w:hAnsi="Arial" w:cs="Arial"/>
                <w:sz w:val="22"/>
                <w:szCs w:val="22"/>
              </w:rPr>
              <w:t>11. Număr de ședințe publice organizate la solicitarea societății civile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12. Număr de minute publicate, realizate la ședințele publice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13. Număr de plângeri în justiţie privind nerespectarea prevederilor legale de către </w:t>
            </w:r>
            <w:r w:rsidR="006848C7" w:rsidRPr="00A453F7">
              <w:rPr>
                <w:rFonts w:ascii="Arial" w:hAnsi="Arial" w:cs="Arial"/>
                <w:sz w:val="22"/>
                <w:szCs w:val="22"/>
              </w:rPr>
              <w:t>0</w:t>
            </w:r>
            <w:r w:rsidRPr="00A453F7">
              <w:rPr>
                <w:rFonts w:ascii="Arial" w:hAnsi="Arial" w:cs="Arial"/>
                <w:sz w:val="22"/>
                <w:szCs w:val="22"/>
              </w:rPr>
              <w:t xml:space="preserve">instituţie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14. Număr şi tipul de sancţiuni dispuse pentru încălcarea obligaţiilor legale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15. Număr de activităţi de pregătire profesională a personalului din administraţia publică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16. Număr de persoane care au fost instruite </w:t>
            </w:r>
            <w:r w:rsidRPr="00A453F7">
              <w:rPr>
                <w:rFonts w:ascii="Arial" w:hAnsi="Arial" w:cs="Arial"/>
                <w:sz w:val="22"/>
                <w:szCs w:val="22"/>
              </w:rPr>
              <w:lastRenderedPageBreak/>
              <w:t>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lastRenderedPageBreak/>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lang w:eastAsia="en-US"/>
              </w:rPr>
              <w:t>17. Număr de rapoarte anuale privind transparența decizională disponibile pe site-ul instituției;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lang w:eastAsia="en-US"/>
              </w:rPr>
            </w:pPr>
            <w:r w:rsidRPr="00A453F7">
              <w:rPr>
                <w:rFonts w:ascii="Arial" w:hAnsi="Arial" w:cs="Arial"/>
                <w:sz w:val="22"/>
                <w:szCs w:val="22"/>
                <w:lang w:eastAsia="en-US"/>
              </w:rPr>
              <w:t>0</w:t>
            </w:r>
          </w:p>
        </w:tc>
      </w:tr>
      <w:tr w:rsidR="001D5B64" w:rsidRPr="00A453F7" w:rsidTr="000D3712">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lang w:eastAsia="en-US"/>
              </w:rPr>
            </w:pPr>
            <w:r w:rsidRPr="00A453F7">
              <w:rPr>
                <w:rFonts w:ascii="Arial" w:hAnsi="Arial" w:cs="Arial"/>
                <w:sz w:val="22"/>
                <w:szCs w:val="22"/>
              </w:rPr>
              <w:t xml:space="preserve">18. Număr de părți interesate înscrise în Registrul Unic al Transparenței Intereselor la nivelul Guvernului României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19. Numărul de domenii în care s-au înscris părți interesate în Registrului Unic al Transparenței Intereselor</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20. Număr de utilizatori ai platformei consultare.gov.ro</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21. Număr de întâlniri raportate în RUTI de către factorii de decizie vizați de registru, din administrația publică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6"/>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8.</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Acces la informaţii de interes public</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544/2001 privind liberul acces la informaţiile de interes public, cu modificările ulterioare</w:t>
            </w:r>
          </w:p>
          <w:p w:rsidR="001D5B64" w:rsidRPr="00E048AE" w:rsidRDefault="001D5B64">
            <w:pPr>
              <w:spacing w:line="276" w:lineRule="auto"/>
              <w:jc w:val="center"/>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seturi de date publicate în format deschis pe platforma data.gov.ro</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solicitări de informaţii de interes public primite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4D6C7A" w:rsidRDefault="004D6C7A">
            <w:pPr>
              <w:spacing w:line="276" w:lineRule="auto"/>
              <w:jc w:val="both"/>
              <w:rPr>
                <w:rFonts w:ascii="Arial" w:hAnsi="Arial" w:cs="Arial"/>
                <w:sz w:val="22"/>
                <w:szCs w:val="22"/>
              </w:rPr>
            </w:pPr>
            <w:r w:rsidRPr="004D6C7A">
              <w:rPr>
                <w:rFonts w:ascii="Arial" w:hAnsi="Arial" w:cs="Arial"/>
                <w:sz w:val="22"/>
                <w:szCs w:val="22"/>
              </w:rPr>
              <w:t>2</w:t>
            </w:r>
          </w:p>
        </w:tc>
      </w:tr>
      <w:tr w:rsidR="001D5B64" w:rsidRPr="00A453F7" w:rsidTr="000D3712">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răspunsuri comunicate în termenul legal</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4D6C7A" w:rsidRDefault="004D6C7A">
            <w:pPr>
              <w:spacing w:line="276" w:lineRule="auto"/>
              <w:jc w:val="both"/>
              <w:rPr>
                <w:rFonts w:ascii="Arial" w:hAnsi="Arial" w:cs="Arial"/>
                <w:sz w:val="22"/>
                <w:szCs w:val="22"/>
              </w:rPr>
            </w:pPr>
            <w:r w:rsidRPr="004D6C7A">
              <w:rPr>
                <w:rFonts w:ascii="Arial" w:hAnsi="Arial" w:cs="Arial"/>
                <w:sz w:val="22"/>
                <w:szCs w:val="22"/>
              </w:rPr>
              <w:t>2</w:t>
            </w:r>
          </w:p>
        </w:tc>
      </w:tr>
      <w:tr w:rsidR="001D5B64" w:rsidRPr="00A453F7" w:rsidTr="000D3712">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Număr de răspunsuri formulate cu întârziere, faţă de termenul legal</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solicitări de informaţii de interes public la care nu s-a răspuns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2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reclamaţii administrative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reclamaţii administrative soluţionate favorabil</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plângeri în instanţă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hotărâri judecătorești definitive și irevocabile pronunțate în favoarea petentului, ca urmare a plângerilor având ca obiect comunicarea de informații de interes public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10. Numărul şi tipul de sancţiuni dispuse pentru încălcarea obligaţiilor legale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11. Număr de activităţi de pregătire profesională a personalului din administraţia publică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12.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13. Numărul și tipul de măsuri interne luate pentru îmbunătățirea procesului de comunicare a informațiilor de interes public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14. Număr de UAT-uri care au implementat Memorandumul privind creșterea transparenței și standardizarea afișării informațiilor de interes public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15. Număr de instituții publice cuprinse în platforma transparență.gov.ro</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A31FC6">
            <w:pPr>
              <w:spacing w:line="276" w:lineRule="auto"/>
              <w:jc w:val="both"/>
              <w:rPr>
                <w:rFonts w:ascii="Arial" w:hAnsi="Arial" w:cs="Arial"/>
                <w:sz w:val="22"/>
                <w:szCs w:val="22"/>
              </w:rPr>
            </w:pPr>
            <w:r>
              <w:rPr>
                <w:rFonts w:ascii="Arial" w:hAnsi="Arial" w:cs="Arial"/>
                <w:sz w:val="22"/>
                <w:szCs w:val="22"/>
              </w:rPr>
              <w:t>0</w:t>
            </w:r>
          </w:p>
        </w:tc>
      </w:tr>
      <w:tr w:rsidR="001D5B64" w:rsidRPr="00A453F7" w:rsidTr="000D3712">
        <w:trPr>
          <w:trHeight w:val="9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lang w:eastAsia="en-US"/>
              </w:rPr>
              <w:t>16. Existența raportului de implementare a Legii nr. 544/2001 pentru ultimul an</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066A0E">
            <w:pPr>
              <w:spacing w:line="276" w:lineRule="auto"/>
              <w:jc w:val="both"/>
              <w:rPr>
                <w:rFonts w:ascii="Arial" w:hAnsi="Arial" w:cs="Arial"/>
                <w:sz w:val="22"/>
                <w:szCs w:val="22"/>
                <w:lang w:eastAsia="en-US"/>
              </w:rPr>
            </w:pPr>
            <w:r>
              <w:rPr>
                <w:rFonts w:ascii="Arial" w:hAnsi="Arial" w:cs="Arial"/>
                <w:sz w:val="22"/>
                <w:szCs w:val="22"/>
                <w:lang w:eastAsia="en-US"/>
              </w:rPr>
              <w:t>1</w:t>
            </w:r>
          </w:p>
        </w:tc>
      </w:tr>
      <w:tr w:rsidR="001D5B64" w:rsidRPr="00A453F7" w:rsidTr="000D3712">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lang w:eastAsia="en-US"/>
              </w:rPr>
              <w:t>17. Număr de rapoarte anuale de activitate disponibile pe site-ul instituției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066A0E">
            <w:pPr>
              <w:spacing w:line="276" w:lineRule="auto"/>
              <w:jc w:val="both"/>
              <w:rPr>
                <w:rFonts w:ascii="Arial" w:hAnsi="Arial" w:cs="Arial"/>
                <w:sz w:val="22"/>
                <w:szCs w:val="22"/>
                <w:lang w:eastAsia="en-US"/>
              </w:rPr>
            </w:pPr>
            <w:r>
              <w:rPr>
                <w:rFonts w:ascii="Arial" w:hAnsi="Arial" w:cs="Arial"/>
                <w:sz w:val="22"/>
                <w:szCs w:val="22"/>
                <w:lang w:eastAsia="en-US"/>
              </w:rPr>
              <w:t>1</w:t>
            </w:r>
          </w:p>
        </w:tc>
      </w:tr>
      <w:tr w:rsidR="001D5B64" w:rsidRPr="00A453F7" w:rsidTr="000D3712">
        <w:trPr>
          <w:trHeight w:val="27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9.</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Protecţia avertizorului de integritate</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pPr>
              <w:spacing w:line="276" w:lineRule="auto"/>
              <w:jc w:val="both"/>
              <w:rPr>
                <w:rFonts w:ascii="Arial" w:hAnsi="Arial" w:cs="Arial"/>
                <w:sz w:val="22"/>
                <w:szCs w:val="22"/>
              </w:rPr>
            </w:pPr>
            <w:r w:rsidRPr="00E048AE">
              <w:rPr>
                <w:rFonts w:ascii="Arial" w:hAnsi="Arial" w:cs="Arial"/>
                <w:sz w:val="22"/>
                <w:szCs w:val="22"/>
              </w:rPr>
              <w:t>Legea nr.</w:t>
            </w:r>
            <w:r w:rsidR="003E0486" w:rsidRPr="00E048AE">
              <w:rPr>
                <w:rFonts w:ascii="Arial" w:hAnsi="Arial" w:cs="Arial"/>
                <w:sz w:val="22"/>
                <w:szCs w:val="22"/>
              </w:rPr>
              <w:t xml:space="preserve"> </w:t>
            </w:r>
            <w:r w:rsidR="00F7776C" w:rsidRPr="00E048AE">
              <w:rPr>
                <w:rFonts w:ascii="Arial" w:hAnsi="Arial" w:cs="Arial"/>
                <w:sz w:val="22"/>
                <w:szCs w:val="22"/>
              </w:rPr>
              <w:t>571/2004 privind protecţia personalului din autorităţile publice, instituţiile publice şi din alte unităţi care semnalează încălcări ale legii</w:t>
            </w:r>
          </w:p>
          <w:p w:rsidR="001D5B64" w:rsidRPr="00E048AE" w:rsidRDefault="001D5B64">
            <w:pPr>
              <w:spacing w:line="276" w:lineRule="auto"/>
              <w:jc w:val="center"/>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lastRenderedPageBreak/>
              <w:t>1. Număr de sesizări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Numărul şi tipul normelor încălcate (structurate sub forma unui Compendiu)</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3. Număr de regulamente interne armonizate cu prevederile legislative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C13DA6">
            <w:pPr>
              <w:spacing w:line="276" w:lineRule="auto"/>
              <w:jc w:val="both"/>
              <w:rPr>
                <w:rFonts w:ascii="Arial" w:hAnsi="Arial" w:cs="Arial"/>
                <w:sz w:val="22"/>
                <w:szCs w:val="22"/>
              </w:rPr>
            </w:pPr>
            <w:r>
              <w:rPr>
                <w:rFonts w:ascii="Arial" w:hAnsi="Arial" w:cs="Arial"/>
                <w:sz w:val="22"/>
                <w:szCs w:val="22"/>
              </w:rPr>
              <w:t>0</w:t>
            </w:r>
          </w:p>
        </w:tc>
      </w:tr>
      <w:tr w:rsidR="001D5B64" w:rsidRPr="00A453F7" w:rsidTr="000D3712">
        <w:trPr>
          <w:trHeight w:val="43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4. Număr de instituţii în care există persoane special desemnate pentru a primi sesizările avertizorilor de integritate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C13DA6">
            <w:pPr>
              <w:spacing w:line="276" w:lineRule="auto"/>
              <w:jc w:val="both"/>
              <w:rPr>
                <w:rFonts w:ascii="Arial" w:hAnsi="Arial" w:cs="Arial"/>
                <w:sz w:val="22"/>
                <w:szCs w:val="22"/>
              </w:rPr>
            </w:pPr>
            <w:r>
              <w:rPr>
                <w:rFonts w:ascii="Arial" w:hAnsi="Arial" w:cs="Arial"/>
                <w:sz w:val="22"/>
                <w:szCs w:val="22"/>
              </w:rPr>
              <w:t>0</w:t>
            </w:r>
          </w:p>
        </w:tc>
      </w:tr>
      <w:tr w:rsidR="001D5B64" w:rsidRPr="00A453F7" w:rsidTr="000D3712">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5. Număr de instituţii în care există implementat un mecanism cu privire la protecţia avertizorilor de integritate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C13DA6">
            <w:pPr>
              <w:spacing w:line="276" w:lineRule="auto"/>
              <w:jc w:val="both"/>
              <w:rPr>
                <w:rFonts w:ascii="Arial" w:hAnsi="Arial" w:cs="Arial"/>
                <w:sz w:val="22"/>
                <w:szCs w:val="22"/>
              </w:rPr>
            </w:pPr>
            <w:r>
              <w:rPr>
                <w:rFonts w:ascii="Arial" w:hAnsi="Arial" w:cs="Arial"/>
                <w:sz w:val="22"/>
                <w:szCs w:val="22"/>
              </w:rPr>
              <w:t>0</w:t>
            </w:r>
          </w:p>
        </w:tc>
      </w:tr>
      <w:tr w:rsidR="001D5B64" w:rsidRPr="00A453F7" w:rsidTr="000D3712">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6. Număr de măsuri administrative adoptate pentru înlăturarea cauzelor sau circumstanţelor care au favorizat încălcarea normelor, diferenţiat pe tipologii</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situaţii de represalii la locul de munca</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plângeri depuse in instanţă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situaţii în care au fost acordate compensaţii avertizorilor de integritate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10. Număr de activităţi de pregătire profesională a personalului din administraţia publică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11. Număr de persoane care au fost instruite prin intermediul acţiunilor de formare profesională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28"/>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10.</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Distribuirea aleatorie a dosarelor/sarcinilor de serviciu</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F7776C">
            <w:pPr>
              <w:spacing w:line="276" w:lineRule="auto"/>
              <w:jc w:val="both"/>
              <w:rPr>
                <w:rFonts w:ascii="Arial" w:hAnsi="Arial" w:cs="Arial"/>
                <w:sz w:val="22"/>
                <w:szCs w:val="22"/>
              </w:rPr>
            </w:pPr>
            <w:r w:rsidRPr="00E048AE">
              <w:rPr>
                <w:rFonts w:ascii="Arial" w:hAnsi="Arial" w:cs="Arial"/>
                <w:sz w:val="22"/>
                <w:szCs w:val="22"/>
              </w:rPr>
              <w:t>Hotărârea Consiliului Superior al Magistraturii nr. 387/2005 pentru aprobarea Regulamentului de ordine interioară al instanţelor judecătoreşti, cu modificările şi completările ulterioare</w:t>
            </w:r>
          </w:p>
          <w:p w:rsidR="001D5B64" w:rsidRPr="00E048AE" w:rsidRDefault="00F7776C">
            <w:pPr>
              <w:spacing w:line="276" w:lineRule="auto"/>
              <w:jc w:val="both"/>
              <w:rPr>
                <w:rFonts w:ascii="Arial" w:hAnsi="Arial" w:cs="Arial"/>
                <w:sz w:val="22"/>
                <w:szCs w:val="22"/>
              </w:rPr>
            </w:pPr>
            <w:r w:rsidRPr="00E048AE">
              <w:rPr>
                <w:rFonts w:ascii="Arial" w:hAnsi="Arial" w:cs="Arial"/>
                <w:sz w:val="22"/>
                <w:szCs w:val="22"/>
              </w:rPr>
              <w:t>Regulamente, ordine interne</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persoane desemnate cu repartizarea aleatorie a cauzelor/sarcinilor de serviciu</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2. Număr de nereguli apărute în sistemul de distribuire aleatorie, diferenţiat pe tipologii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3. Număr de măsuri luate de preşedintele </w:t>
            </w:r>
            <w:r w:rsidRPr="00A453F7">
              <w:rPr>
                <w:rFonts w:ascii="Arial" w:hAnsi="Arial" w:cs="Arial"/>
                <w:sz w:val="22"/>
                <w:szCs w:val="22"/>
              </w:rPr>
              <w:lastRenderedPageBreak/>
              <w:t xml:space="preserve">instanţei/conducătorul instituţiei pentru remedierea neregulilor constatate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lastRenderedPageBreak/>
              <w:t>0</w:t>
            </w:r>
          </w:p>
        </w:tc>
      </w:tr>
      <w:tr w:rsidR="001D5B64" w:rsidRPr="00A453F7" w:rsidTr="000D3712">
        <w:trPr>
          <w:trHeight w:val="22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lastRenderedPageBreak/>
              <w:t>11.</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Interdicţii după încheierea angajării în cadrul instituţiilor publice</w:t>
            </w:r>
          </w:p>
          <w:p w:rsidR="001D5B64" w:rsidRPr="00A453F7" w:rsidRDefault="00F7776C">
            <w:pPr>
              <w:spacing w:line="276" w:lineRule="auto"/>
              <w:jc w:val="center"/>
              <w:rPr>
                <w:rFonts w:ascii="Arial" w:hAnsi="Arial" w:cs="Arial"/>
                <w:sz w:val="22"/>
                <w:szCs w:val="22"/>
              </w:rPr>
            </w:pPr>
            <w:r w:rsidRPr="00A453F7">
              <w:rPr>
                <w:rFonts w:ascii="Arial" w:hAnsi="Arial" w:cs="Arial"/>
                <w:b/>
                <w:sz w:val="22"/>
                <w:szCs w:val="22"/>
              </w:rPr>
              <w:t>(Pantouflage)</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1D5B64" w:rsidRPr="00E048AE" w:rsidRDefault="00F7776C">
            <w:pPr>
              <w:spacing w:after="120" w:line="276" w:lineRule="auto"/>
              <w:jc w:val="both"/>
              <w:rPr>
                <w:rFonts w:ascii="Arial" w:hAnsi="Arial" w:cs="Arial"/>
                <w:sz w:val="22"/>
                <w:szCs w:val="22"/>
              </w:rPr>
            </w:pPr>
            <w:r w:rsidRPr="00E048AE">
              <w:rPr>
                <w:rFonts w:ascii="Arial" w:hAnsi="Arial" w:cs="Arial"/>
                <w:sz w:val="22"/>
                <w:szCs w:val="22"/>
              </w:rPr>
              <w:t>Ordonanţa de urgenţă a Guvernului nr. 66/2011 privind prevenirea, constatarea şi sancţionarea neregulilor apărute în obţinerea şi utilizarea fondurilor europene şi/sau a fondurilor publice naţionale aferente acestora [art. 13 alin. (1)]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1. Număr de regulamente interne care prevăd procedura monitorizării situaţiilor de pantouflage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6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2. Număr de instituţii în care există implementat un mecanism cu privire la monitorizarea situaţiilor de pantouflage, inclusiv prin desemnarea unor persoane cu atribuţii speciale în acest sens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6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3. Număr de persoane care au desfăşurat activităţi de monitorizare şi control cu privire la societăţi comerciale şi care au ieşit din corpul funcţionarilor publici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9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4. 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5. Număr de măsuri adoptate pentru remedierea situaţiilor de pantouflage, diferenţiat pe tipuri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 xml:space="preserve">6. Număr de încălcări ale prevederilor art. 13 alin (1) constatate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7. Număr de solicitări către instanţa de judecată pentru anularea contractului de finanţare în caz de încălcare a art. 13 alin. (1)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8. Număr de sancţiuni aplicate de către instanţe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7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sz w:val="22"/>
                <w:szCs w:val="22"/>
              </w:rPr>
            </w:pPr>
            <w:r w:rsidRPr="00A453F7">
              <w:rPr>
                <w:rFonts w:ascii="Arial" w:hAnsi="Arial" w:cs="Arial"/>
                <w:sz w:val="22"/>
                <w:szCs w:val="22"/>
              </w:rPr>
              <w:t>9. Număr de societăţi comerciale în care îşi desfăşoară activitatea persoane care au derulat anterior activităţi de monitorizare şi control şi care intră sub incidenţa art. 13 alin.(1), diferenţiat pe domenii majore de activitate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6848C7">
            <w:pPr>
              <w:spacing w:line="276" w:lineRule="auto"/>
              <w:jc w:val="both"/>
              <w:rPr>
                <w:rFonts w:ascii="Arial" w:hAnsi="Arial" w:cs="Arial"/>
                <w:sz w:val="22"/>
                <w:szCs w:val="22"/>
              </w:rPr>
            </w:pPr>
            <w:r w:rsidRPr="00A453F7">
              <w:rPr>
                <w:rFonts w:ascii="Arial" w:hAnsi="Arial" w:cs="Arial"/>
                <w:sz w:val="22"/>
                <w:szCs w:val="22"/>
              </w:rPr>
              <w:t>0</w:t>
            </w:r>
          </w:p>
        </w:tc>
      </w:tr>
      <w:tr w:rsidR="001D5B64" w:rsidRPr="00A453F7" w:rsidTr="000D3712">
        <w:trPr>
          <w:trHeight w:val="47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sz w:val="22"/>
                <w:szCs w:val="22"/>
              </w:rPr>
            </w:pPr>
            <w:r w:rsidRPr="00A453F7">
              <w:rPr>
                <w:rFonts w:ascii="Arial" w:hAnsi="Arial" w:cs="Arial"/>
                <w:sz w:val="22"/>
                <w:szCs w:val="22"/>
              </w:rPr>
              <w:t>12.</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center"/>
              <w:rPr>
                <w:rFonts w:ascii="Arial" w:hAnsi="Arial" w:cs="Arial"/>
                <w:b/>
                <w:sz w:val="22"/>
                <w:szCs w:val="22"/>
              </w:rPr>
            </w:pPr>
            <w:r w:rsidRPr="00A453F7">
              <w:rPr>
                <w:rFonts w:ascii="Arial" w:hAnsi="Arial" w:cs="Arial"/>
                <w:b/>
                <w:sz w:val="22"/>
                <w:szCs w:val="22"/>
              </w:rPr>
              <w:t>Funcțiile sensibile</w:t>
            </w:r>
          </w:p>
        </w:tc>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Pr="00E048AE" w:rsidRDefault="00E37E83" w:rsidP="00E37E83">
            <w:pPr>
              <w:spacing w:line="276" w:lineRule="auto"/>
              <w:jc w:val="both"/>
              <w:rPr>
                <w:rFonts w:ascii="Arial" w:hAnsi="Arial" w:cs="Arial"/>
                <w:sz w:val="22"/>
                <w:szCs w:val="22"/>
              </w:rPr>
            </w:pPr>
            <w:r w:rsidRPr="00E048AE">
              <w:rPr>
                <w:rFonts w:ascii="Arial" w:hAnsi="Arial" w:cs="Arial"/>
                <w:sz w:val="22"/>
                <w:szCs w:val="22"/>
              </w:rPr>
              <w:t>Ordinul SGG nr.</w:t>
            </w:r>
            <w:r w:rsidR="003E0486" w:rsidRPr="00E048AE">
              <w:rPr>
                <w:rFonts w:ascii="Arial" w:hAnsi="Arial" w:cs="Arial"/>
                <w:sz w:val="22"/>
                <w:szCs w:val="22"/>
              </w:rPr>
              <w:t xml:space="preserve"> </w:t>
            </w:r>
            <w:r w:rsidR="007D15C7" w:rsidRPr="00E048AE">
              <w:rPr>
                <w:rFonts w:ascii="Arial" w:hAnsi="Arial" w:cs="Arial"/>
                <w:sz w:val="22"/>
                <w:szCs w:val="22"/>
              </w:rPr>
              <w:t>600/2018</w:t>
            </w:r>
            <w:r w:rsidR="00F7776C" w:rsidRPr="00E048AE">
              <w:rPr>
                <w:rFonts w:ascii="Arial" w:hAnsi="Arial" w:cs="Arial"/>
                <w:sz w:val="22"/>
                <w:szCs w:val="22"/>
              </w:rPr>
              <w:t xml:space="preserve"> pentru aprobarea Codului controlului intern/man</w:t>
            </w:r>
            <w:r w:rsidRPr="00E048AE">
              <w:rPr>
                <w:rFonts w:ascii="Arial" w:hAnsi="Arial" w:cs="Arial"/>
                <w:sz w:val="22"/>
                <w:szCs w:val="22"/>
              </w:rPr>
              <w:t>agerial al entităților publice</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iCs/>
                <w:sz w:val="22"/>
                <w:szCs w:val="22"/>
              </w:rPr>
            </w:pPr>
            <w:r w:rsidRPr="00A453F7">
              <w:rPr>
                <w:rFonts w:ascii="Arial" w:hAnsi="Arial" w:cs="Arial"/>
                <w:iCs/>
                <w:sz w:val="22"/>
                <w:szCs w:val="22"/>
              </w:rPr>
              <w:t>1. Număr funcţii sensibile şi funcţiile considerate ca fiind expuse la corupţie identificate și inventariate</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4D6C7A" w:rsidRDefault="009F2760">
            <w:pPr>
              <w:spacing w:line="276" w:lineRule="auto"/>
              <w:jc w:val="both"/>
              <w:rPr>
                <w:rFonts w:ascii="Arial" w:hAnsi="Arial" w:cs="Arial"/>
                <w:iCs/>
                <w:sz w:val="22"/>
                <w:szCs w:val="22"/>
              </w:rPr>
            </w:pPr>
            <w:r>
              <w:rPr>
                <w:rFonts w:ascii="Arial" w:hAnsi="Arial" w:cs="Arial"/>
                <w:iCs/>
                <w:sz w:val="22"/>
                <w:szCs w:val="22"/>
              </w:rPr>
              <w:t>10</w:t>
            </w:r>
          </w:p>
        </w:tc>
      </w:tr>
      <w:tr w:rsidR="001D5B64" w:rsidRPr="00A453F7" w:rsidTr="000D3712">
        <w:trPr>
          <w:trHeight w:val="24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iCs/>
                <w:sz w:val="22"/>
                <w:szCs w:val="22"/>
              </w:rPr>
            </w:pPr>
            <w:r w:rsidRPr="00A453F7">
              <w:rPr>
                <w:rFonts w:ascii="Arial" w:hAnsi="Arial" w:cs="Arial"/>
                <w:iCs/>
                <w:sz w:val="22"/>
                <w:szCs w:val="22"/>
              </w:rPr>
              <w:t xml:space="preserve">2. Număr de persoane cărora li s-a aplicat principiul rotației personalului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50E3C">
            <w:pPr>
              <w:spacing w:line="276" w:lineRule="auto"/>
              <w:jc w:val="both"/>
              <w:rPr>
                <w:rFonts w:ascii="Arial" w:hAnsi="Arial" w:cs="Arial"/>
                <w:iCs/>
                <w:sz w:val="22"/>
                <w:szCs w:val="22"/>
              </w:rPr>
            </w:pPr>
            <w:r w:rsidRPr="00A453F7">
              <w:rPr>
                <w:rFonts w:ascii="Arial" w:hAnsi="Arial" w:cs="Arial"/>
                <w:iCs/>
                <w:sz w:val="22"/>
                <w:szCs w:val="22"/>
              </w:rPr>
              <w:t>0</w:t>
            </w:r>
          </w:p>
        </w:tc>
      </w:tr>
      <w:tr w:rsidR="001D5B64" w:rsidRPr="00A453F7" w:rsidTr="000D3712">
        <w:trPr>
          <w:trHeight w:val="13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center"/>
              <w:rPr>
                <w:rFonts w:ascii="Arial" w:hAnsi="Arial" w:cs="Arial"/>
                <w:sz w:val="22"/>
                <w:szCs w:val="22"/>
              </w:rPr>
            </w:pPr>
          </w:p>
        </w:tc>
        <w:tc>
          <w:tcPr>
            <w:tcW w:w="513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1D5B64">
            <w:pPr>
              <w:spacing w:line="276" w:lineRule="auto"/>
              <w:jc w:val="both"/>
              <w:rPr>
                <w:rFonts w:ascii="Arial" w:hAnsi="Arial" w:cs="Arial"/>
                <w:sz w:val="22"/>
                <w:szCs w:val="22"/>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F7776C">
            <w:pPr>
              <w:spacing w:line="276" w:lineRule="auto"/>
              <w:jc w:val="both"/>
              <w:rPr>
                <w:rFonts w:ascii="Arial" w:hAnsi="Arial" w:cs="Arial"/>
                <w:iCs/>
                <w:sz w:val="22"/>
                <w:szCs w:val="22"/>
              </w:rPr>
            </w:pPr>
            <w:r w:rsidRPr="00A453F7">
              <w:rPr>
                <w:rFonts w:ascii="Arial" w:hAnsi="Arial" w:cs="Arial"/>
                <w:iCs/>
                <w:sz w:val="22"/>
                <w:szCs w:val="22"/>
              </w:rPr>
              <w:t>3. Număr măsuri de control adecvate şi suficiente  pentru administrarea şi gestionarea funcţiilor sensibile</w:t>
            </w:r>
          </w:p>
          <w:p w:rsidR="001D5B64" w:rsidRPr="00A453F7" w:rsidRDefault="00F7776C" w:rsidP="00DD37F0">
            <w:pPr>
              <w:spacing w:line="276" w:lineRule="auto"/>
              <w:jc w:val="both"/>
              <w:rPr>
                <w:rFonts w:ascii="Arial" w:hAnsi="Arial" w:cs="Arial"/>
                <w:iCs/>
                <w:sz w:val="22"/>
                <w:szCs w:val="22"/>
              </w:rPr>
            </w:pPr>
            <w:r w:rsidRPr="00A453F7">
              <w:rPr>
                <w:rFonts w:ascii="Arial" w:hAnsi="Arial" w:cs="Arial"/>
                <w:iCs/>
                <w:sz w:val="22"/>
                <w:szCs w:val="22"/>
              </w:rPr>
              <w:t>Notă: Standardului 2 - Atribuții, funcții, sarcini, conform Ordinul</w:t>
            </w:r>
            <w:r w:rsidR="00DD37F0" w:rsidRPr="00A453F7">
              <w:rPr>
                <w:rFonts w:ascii="Arial" w:hAnsi="Arial" w:cs="Arial"/>
                <w:iCs/>
                <w:sz w:val="22"/>
                <w:szCs w:val="22"/>
              </w:rPr>
              <w:t>ui</w:t>
            </w:r>
            <w:r w:rsidRPr="00A453F7">
              <w:rPr>
                <w:rFonts w:ascii="Arial" w:hAnsi="Arial" w:cs="Arial"/>
                <w:iCs/>
                <w:sz w:val="22"/>
                <w:szCs w:val="22"/>
              </w:rPr>
              <w:t xml:space="preserve"> Secretariat</w:t>
            </w:r>
            <w:r w:rsidR="00E83280" w:rsidRPr="00A453F7">
              <w:rPr>
                <w:rFonts w:ascii="Arial" w:hAnsi="Arial" w:cs="Arial"/>
                <w:iCs/>
                <w:sz w:val="22"/>
                <w:szCs w:val="22"/>
              </w:rPr>
              <w:t>ului General al Guvernului nr. 6</w:t>
            </w:r>
            <w:r w:rsidRPr="00A453F7">
              <w:rPr>
                <w:rFonts w:ascii="Arial" w:hAnsi="Arial" w:cs="Arial"/>
                <w:iCs/>
                <w:sz w:val="22"/>
                <w:szCs w:val="22"/>
              </w:rPr>
              <w:t>00</w:t>
            </w:r>
            <w:r w:rsidR="00E83280" w:rsidRPr="00A453F7">
              <w:rPr>
                <w:rFonts w:ascii="Arial" w:hAnsi="Arial" w:cs="Arial"/>
                <w:iCs/>
                <w:sz w:val="22"/>
                <w:szCs w:val="22"/>
              </w:rPr>
              <w:t>/2018</w:t>
            </w:r>
            <w:r w:rsidRPr="00A453F7">
              <w:rPr>
                <w:rFonts w:ascii="Arial" w:hAnsi="Arial" w:cs="Arial"/>
                <w:iCs/>
                <w:sz w:val="22"/>
                <w:szCs w:val="22"/>
              </w:rPr>
              <w:t xml:space="preserve"> privind aprobarea Codului controlului intern managerial al entităților publice</w:t>
            </w:r>
            <w:r w:rsidR="00E83280" w:rsidRPr="00A453F7">
              <w:rPr>
                <w:rFonts w:ascii="Arial" w:hAnsi="Arial" w:cs="Arial"/>
                <w:iCs/>
                <w:sz w:val="22"/>
                <w:szCs w:val="22"/>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1D5B64" w:rsidRPr="00A453F7" w:rsidRDefault="00E50E3C">
            <w:pPr>
              <w:spacing w:line="276" w:lineRule="auto"/>
              <w:jc w:val="both"/>
              <w:rPr>
                <w:rFonts w:ascii="Arial" w:hAnsi="Arial" w:cs="Arial"/>
                <w:iCs/>
                <w:sz w:val="22"/>
                <w:szCs w:val="22"/>
              </w:rPr>
            </w:pPr>
            <w:r w:rsidRPr="00A453F7">
              <w:rPr>
                <w:rFonts w:ascii="Arial" w:hAnsi="Arial" w:cs="Arial"/>
                <w:iCs/>
                <w:sz w:val="22"/>
                <w:szCs w:val="22"/>
              </w:rPr>
              <w:t>0</w:t>
            </w:r>
          </w:p>
        </w:tc>
      </w:tr>
      <w:tr w:rsidR="003C572E" w:rsidRPr="00A453F7" w:rsidTr="003C572E">
        <w:trPr>
          <w:trHeight w:val="1350"/>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3C572E" w:rsidRDefault="003C572E" w:rsidP="003C572E">
            <w:pPr>
              <w:spacing w:line="276" w:lineRule="auto"/>
              <w:jc w:val="center"/>
              <w:rPr>
                <w:rFonts w:ascii="Trebuchet MS" w:hAnsi="Trebuchet MS"/>
                <w:sz w:val="22"/>
                <w:szCs w:val="22"/>
              </w:rPr>
            </w:pPr>
            <w:r>
              <w:rPr>
                <w:rFonts w:ascii="Trebuchet MS" w:hAnsi="Trebuchet MS"/>
                <w:sz w:val="22"/>
                <w:szCs w:val="22"/>
              </w:rPr>
              <w:t>13.</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C572E" w:rsidRDefault="003C572E" w:rsidP="003C572E">
            <w:pPr>
              <w:spacing w:line="276" w:lineRule="auto"/>
              <w:jc w:val="center"/>
              <w:rPr>
                <w:rFonts w:ascii="Trebuchet MS" w:hAnsi="Trebuchet MS"/>
                <w:b/>
                <w:sz w:val="22"/>
                <w:szCs w:val="22"/>
                <w:lang w:val="en-US"/>
              </w:rPr>
            </w:pPr>
            <w:r>
              <w:rPr>
                <w:rFonts w:ascii="Trebuchet MS" w:hAnsi="Trebuchet MS"/>
                <w:b/>
                <w:sz w:val="22"/>
                <w:szCs w:val="22"/>
                <w:lang w:val="en-US"/>
              </w:rPr>
              <w:t>Evaluarea</w:t>
            </w:r>
          </w:p>
          <w:p w:rsidR="003C572E" w:rsidRDefault="003C572E" w:rsidP="003C572E">
            <w:pPr>
              <w:spacing w:line="276" w:lineRule="auto"/>
              <w:jc w:val="center"/>
              <w:rPr>
                <w:rFonts w:ascii="Trebuchet MS" w:hAnsi="Trebuchet MS"/>
                <w:b/>
                <w:sz w:val="22"/>
                <w:szCs w:val="22"/>
                <w:lang w:val="en-US"/>
              </w:rPr>
            </w:pPr>
            <w:r>
              <w:rPr>
                <w:rFonts w:ascii="Trebuchet MS" w:hAnsi="Trebuchet MS"/>
                <w:b/>
                <w:sz w:val="22"/>
                <w:szCs w:val="22"/>
                <w:lang w:val="en-US"/>
              </w:rPr>
              <w:t>incidentelor de</w:t>
            </w:r>
            <w:r w:rsidR="009F2760">
              <w:rPr>
                <w:rFonts w:ascii="Trebuchet MS" w:hAnsi="Trebuchet MS"/>
                <w:b/>
                <w:sz w:val="22"/>
                <w:szCs w:val="22"/>
                <w:lang w:val="en-US"/>
              </w:rPr>
              <w:t xml:space="preserve"> </w:t>
            </w:r>
            <w:r>
              <w:rPr>
                <w:rFonts w:ascii="Trebuchet MS" w:hAnsi="Trebuchet MS"/>
                <w:b/>
                <w:sz w:val="22"/>
                <w:szCs w:val="22"/>
                <w:lang w:val="en-US"/>
              </w:rPr>
              <w:t>integritate în cadrul</w:t>
            </w:r>
          </w:p>
          <w:p w:rsidR="003C572E" w:rsidRDefault="003532F3" w:rsidP="003C572E">
            <w:pPr>
              <w:spacing w:line="276" w:lineRule="auto"/>
              <w:jc w:val="center"/>
              <w:rPr>
                <w:rFonts w:ascii="Trebuchet MS" w:hAnsi="Trebuchet MS"/>
                <w:b/>
                <w:sz w:val="22"/>
                <w:szCs w:val="22"/>
                <w:lang w:val="en-US"/>
              </w:rPr>
            </w:pPr>
            <w:r>
              <w:rPr>
                <w:rFonts w:ascii="Trebuchet MS" w:hAnsi="Trebuchet MS"/>
                <w:b/>
                <w:sz w:val="22"/>
                <w:szCs w:val="22"/>
                <w:lang w:val="en-US"/>
              </w:rPr>
              <w:t>instituţiei</w:t>
            </w:r>
            <w:r w:rsidR="003C572E">
              <w:rPr>
                <w:rFonts w:ascii="Trebuchet MS" w:hAnsi="Trebuchet MS"/>
                <w:b/>
                <w:sz w:val="22"/>
                <w:szCs w:val="22"/>
                <w:lang w:val="en-US"/>
              </w:rPr>
              <w:t xml:space="preserve"> publice</w:t>
            </w:r>
          </w:p>
          <w:p w:rsidR="003C572E" w:rsidRDefault="003C572E" w:rsidP="003C572E">
            <w:pPr>
              <w:spacing w:line="276" w:lineRule="auto"/>
              <w:jc w:val="center"/>
              <w:rPr>
                <w:rFonts w:ascii="Trebuchet MS" w:hAnsi="Trebuchet MS"/>
                <w:sz w:val="22"/>
                <w:szCs w:val="22"/>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3C572E" w:rsidRDefault="003C572E" w:rsidP="003C572E">
            <w:pPr>
              <w:spacing w:line="276" w:lineRule="auto"/>
              <w:jc w:val="both"/>
              <w:rPr>
                <w:rFonts w:ascii="Trebuchet MS" w:hAnsi="Trebuchet MS"/>
                <w:sz w:val="22"/>
                <w:szCs w:val="22"/>
                <w:lang w:val="en-US"/>
              </w:rPr>
            </w:pPr>
            <w:r>
              <w:rPr>
                <w:rFonts w:ascii="Trebuchet MS" w:hAnsi="Trebuchet MS"/>
                <w:sz w:val="22"/>
                <w:szCs w:val="22"/>
                <w:lang w:val="en-US"/>
              </w:rPr>
              <w:t xml:space="preserve">Hotărârea nr. 599/2018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w:t>
            </w:r>
            <w:r>
              <w:rPr>
                <w:rFonts w:ascii="Helvetica" w:eastAsia="MS Mincho" w:hAnsi="Helvetica" w:cs="Helvetica"/>
                <w:sz w:val="21"/>
                <w:szCs w:val="21"/>
                <w:lang w:val="en-US" w:eastAsia="en-US"/>
              </w:rPr>
              <w:t xml:space="preserve"> </w:t>
            </w:r>
            <w:r>
              <w:rPr>
                <w:rFonts w:ascii="Trebuchet MS" w:hAnsi="Trebuchet MS"/>
                <w:sz w:val="22"/>
                <w:szCs w:val="22"/>
                <w:lang w:val="en-US"/>
              </w:rPr>
              <w:t xml:space="preserve">situaţia materializării riscurilor de corupţie şi formatul registrului riscurilor de </w:t>
            </w:r>
            <w:r>
              <w:rPr>
                <w:rFonts w:ascii="Trebuchet MS" w:hAnsi="Trebuchet MS"/>
                <w:sz w:val="22"/>
                <w:szCs w:val="22"/>
                <w:lang w:val="en-US"/>
              </w:rPr>
              <w:lastRenderedPageBreak/>
              <w:t>corupţie, precum şi</w:t>
            </w:r>
          </w:p>
          <w:p w:rsidR="003C572E" w:rsidRDefault="003C572E" w:rsidP="003C572E">
            <w:pPr>
              <w:spacing w:line="276" w:lineRule="auto"/>
              <w:jc w:val="both"/>
              <w:rPr>
                <w:rFonts w:ascii="Trebuchet MS" w:hAnsi="Trebuchet MS"/>
                <w:sz w:val="22"/>
                <w:szCs w:val="22"/>
              </w:rPr>
            </w:pPr>
            <w:r>
              <w:rPr>
                <w:rFonts w:ascii="Trebuchet MS" w:hAnsi="Trebuchet MS"/>
                <w:sz w:val="22"/>
                <w:szCs w:val="22"/>
                <w:lang w:val="en-US"/>
              </w:rPr>
              <w:t>pentru aprobarea Metodologiei de evaluare a incidentelor de integritate în cadrul autorităţilor şi instituţiilor publice centrale, împreună cu formatul raportului anual de evaluare a incidentelor de integritate</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rsidR="003C572E" w:rsidRDefault="003C572E" w:rsidP="003C572E">
            <w:pPr>
              <w:spacing w:line="276" w:lineRule="auto"/>
              <w:jc w:val="both"/>
              <w:rPr>
                <w:rFonts w:ascii="Trebuchet MS" w:hAnsi="Trebuchet MS"/>
                <w:iCs/>
                <w:sz w:val="22"/>
                <w:szCs w:val="22"/>
              </w:rPr>
            </w:pPr>
            <w:r>
              <w:rPr>
                <w:rFonts w:ascii="Trebuchet MS" w:hAnsi="Trebuchet MS"/>
                <w:iCs/>
                <w:sz w:val="22"/>
                <w:szCs w:val="22"/>
              </w:rPr>
              <w:lastRenderedPageBreak/>
              <w:t xml:space="preserve">1. </w:t>
            </w:r>
            <w:r>
              <w:rPr>
                <w:rFonts w:ascii="Trebuchet MS" w:hAnsi="Trebuchet MS"/>
                <w:iCs/>
                <w:sz w:val="22"/>
                <w:szCs w:val="22"/>
                <w:lang w:val="en-US"/>
              </w:rPr>
              <w:t>Numărul de incidente de integritate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3C572E" w:rsidRDefault="003C572E" w:rsidP="003C572E">
            <w:pPr>
              <w:spacing w:line="276" w:lineRule="auto"/>
              <w:jc w:val="both"/>
              <w:rPr>
                <w:rFonts w:ascii="Trebuchet MS" w:hAnsi="Trebuchet MS"/>
                <w:iCs/>
                <w:sz w:val="22"/>
                <w:szCs w:val="22"/>
              </w:rPr>
            </w:pPr>
            <w:r>
              <w:rPr>
                <w:rFonts w:ascii="Trebuchet MS" w:hAnsi="Trebuchet MS"/>
                <w:iCs/>
                <w:sz w:val="22"/>
                <w:szCs w:val="22"/>
              </w:rPr>
              <w:t>0</w:t>
            </w:r>
          </w:p>
        </w:tc>
      </w:tr>
    </w:tbl>
    <w:p w:rsidR="000D3712" w:rsidRPr="00A453F7" w:rsidRDefault="000D3712" w:rsidP="000D3712">
      <w:pPr>
        <w:rPr>
          <w:rFonts w:ascii="Arial" w:hAnsi="Arial" w:cs="Arial"/>
          <w:sz w:val="20"/>
          <w:szCs w:val="20"/>
        </w:rPr>
      </w:pPr>
      <w:r w:rsidRPr="00A453F7">
        <w:rPr>
          <w:rFonts w:ascii="Arial" w:hAnsi="Arial" w:cs="Arial"/>
          <w:sz w:val="20"/>
          <w:szCs w:val="20"/>
        </w:rPr>
        <w:lastRenderedPageBreak/>
        <w:t xml:space="preserve">                                                                                                                                   </w:t>
      </w:r>
    </w:p>
    <w:p w:rsidR="00C03543" w:rsidRDefault="00704241" w:rsidP="00704241">
      <w:pPr>
        <w:tabs>
          <w:tab w:val="left" w:pos="1320"/>
        </w:tabs>
        <w:autoSpaceDE w:val="0"/>
        <w:autoSpaceDN w:val="0"/>
        <w:adjustRightInd w:val="0"/>
        <w:spacing w:line="360" w:lineRule="auto"/>
        <w:rPr>
          <w:rFonts w:ascii="Trebuchet MS" w:eastAsia="Arial Unicode MS" w:hAnsi="Trebuchet MS"/>
          <w:color w:val="000000"/>
          <w:sz w:val="22"/>
          <w:szCs w:val="22"/>
        </w:rPr>
      </w:pPr>
      <w:r>
        <w:rPr>
          <w:rFonts w:ascii="Trebuchet MS" w:eastAsia="Arial Unicode MS" w:hAnsi="Trebuchet MS"/>
          <w:color w:val="000000"/>
          <w:sz w:val="22"/>
          <w:szCs w:val="22"/>
        </w:rPr>
        <w:t xml:space="preserve">                                  </w:t>
      </w:r>
    </w:p>
    <w:p w:rsidR="00C03543" w:rsidRDefault="00C03543" w:rsidP="00704241">
      <w:pPr>
        <w:tabs>
          <w:tab w:val="left" w:pos="1320"/>
        </w:tabs>
        <w:autoSpaceDE w:val="0"/>
        <w:autoSpaceDN w:val="0"/>
        <w:adjustRightInd w:val="0"/>
        <w:spacing w:line="360" w:lineRule="auto"/>
        <w:rPr>
          <w:rFonts w:ascii="Trebuchet MS" w:eastAsia="Arial Unicode MS" w:hAnsi="Trebuchet MS"/>
          <w:color w:val="000000"/>
          <w:sz w:val="22"/>
          <w:szCs w:val="22"/>
        </w:rPr>
      </w:pPr>
    </w:p>
    <w:p w:rsidR="00C03543" w:rsidRDefault="00C03543" w:rsidP="00704241">
      <w:pPr>
        <w:tabs>
          <w:tab w:val="left" w:pos="1320"/>
        </w:tabs>
        <w:autoSpaceDE w:val="0"/>
        <w:autoSpaceDN w:val="0"/>
        <w:adjustRightInd w:val="0"/>
        <w:spacing w:line="360" w:lineRule="auto"/>
        <w:rPr>
          <w:rFonts w:ascii="Trebuchet MS" w:eastAsia="Arial Unicode MS" w:hAnsi="Trebuchet MS"/>
          <w:color w:val="000000"/>
          <w:sz w:val="22"/>
          <w:szCs w:val="22"/>
        </w:rPr>
      </w:pPr>
    </w:p>
    <w:p w:rsidR="00C03543" w:rsidRDefault="00C03543" w:rsidP="00704241">
      <w:pPr>
        <w:tabs>
          <w:tab w:val="left" w:pos="1320"/>
        </w:tabs>
        <w:autoSpaceDE w:val="0"/>
        <w:autoSpaceDN w:val="0"/>
        <w:adjustRightInd w:val="0"/>
        <w:spacing w:line="360" w:lineRule="auto"/>
        <w:rPr>
          <w:rFonts w:ascii="Trebuchet MS" w:eastAsia="Arial Unicode MS" w:hAnsi="Trebuchet MS"/>
          <w:color w:val="000000"/>
          <w:sz w:val="22"/>
          <w:szCs w:val="22"/>
        </w:rPr>
      </w:pPr>
    </w:p>
    <w:p w:rsidR="000D3712" w:rsidRPr="00A453F7" w:rsidRDefault="000D3712" w:rsidP="000D3712">
      <w:pPr>
        <w:rPr>
          <w:rFonts w:ascii="Arial" w:hAnsi="Arial" w:cs="Arial"/>
          <w:sz w:val="22"/>
          <w:szCs w:val="22"/>
        </w:rPr>
      </w:pPr>
      <w:bookmarkStart w:id="0" w:name="_GoBack"/>
      <w:bookmarkEnd w:id="0"/>
      <w:r w:rsidRPr="00A453F7">
        <w:rPr>
          <w:rFonts w:ascii="Arial" w:hAnsi="Arial" w:cs="Arial"/>
          <w:sz w:val="22"/>
          <w:szCs w:val="22"/>
        </w:rPr>
        <w:t xml:space="preserve">                                                                                                                           </w:t>
      </w:r>
      <w:r w:rsidR="008F5D44" w:rsidRPr="00A453F7">
        <w:rPr>
          <w:rFonts w:ascii="Arial" w:hAnsi="Arial" w:cs="Arial"/>
          <w:sz w:val="22"/>
          <w:szCs w:val="22"/>
        </w:rPr>
        <w:t xml:space="preserve">  </w:t>
      </w:r>
    </w:p>
    <w:p w:rsidR="001D5B64" w:rsidRPr="00A453F7" w:rsidRDefault="000D3712">
      <w:pPr>
        <w:rPr>
          <w:rFonts w:ascii="Arial" w:hAnsi="Arial" w:cs="Arial"/>
          <w:sz w:val="22"/>
          <w:szCs w:val="22"/>
        </w:rPr>
      </w:pPr>
      <w:r w:rsidRPr="00A453F7">
        <w:rPr>
          <w:rFonts w:ascii="Arial" w:hAnsi="Arial" w:cs="Arial"/>
          <w:sz w:val="22"/>
          <w:szCs w:val="22"/>
        </w:rPr>
        <w:t xml:space="preserve">                                                                                                                 </w:t>
      </w:r>
      <w:r w:rsidR="008F5D44" w:rsidRPr="00A453F7">
        <w:rPr>
          <w:rFonts w:ascii="Arial" w:hAnsi="Arial" w:cs="Arial"/>
          <w:sz w:val="22"/>
          <w:szCs w:val="22"/>
        </w:rPr>
        <w:t xml:space="preserve">              </w:t>
      </w:r>
    </w:p>
    <w:sectPr w:rsidR="001D5B64" w:rsidRPr="00A453F7" w:rsidSect="00F1310E">
      <w:headerReference w:type="default" r:id="rId8"/>
      <w:footerReference w:type="default" r:id="rId9"/>
      <w:headerReference w:type="first" r:id="rId10"/>
      <w:footerReference w:type="first" r:id="rId11"/>
      <w:pgSz w:w="16838" w:h="11906" w:orient="landscape"/>
      <w:pgMar w:top="619" w:right="864" w:bottom="288" w:left="1440" w:header="57" w:footer="5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8F" w:rsidRDefault="004C238F">
      <w:r>
        <w:separator/>
      </w:r>
    </w:p>
  </w:endnote>
  <w:endnote w:type="continuationSeparator" w:id="0">
    <w:p w:rsidR="004C238F" w:rsidRDefault="004C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FNormal">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0E" w:rsidRPr="00702E2A" w:rsidRDefault="00F1310E" w:rsidP="0034122E">
    <w:pPr>
      <w:pStyle w:val="Footer"/>
      <w:ind w:left="1699"/>
      <w:rPr>
        <w:sz w:val="14"/>
        <w:szCs w:val="14"/>
      </w:rPr>
    </w:pPr>
  </w:p>
  <w:p w:rsidR="00F1310E" w:rsidRPr="00F44190" w:rsidRDefault="00F1310E" w:rsidP="00F75B9A">
    <w:pPr>
      <w:pStyle w:val="Footer"/>
      <w:tabs>
        <w:tab w:val="left" w:pos="10230"/>
      </w:tabs>
      <w:ind w:left="1440"/>
      <w:rPr>
        <w:sz w:val="14"/>
        <w:szCs w:val="14"/>
      </w:rPr>
    </w:pPr>
    <w:r>
      <w:rPr>
        <w:sz w:val="14"/>
        <w:szCs w:val="14"/>
      </w:rPr>
      <w:t xml:space="preserve">                                                                                                                                                                                           </w:t>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sidR="006F2D21">
      <w:rPr>
        <w:noProof/>
        <w:sz w:val="14"/>
        <w:szCs w:val="14"/>
      </w:rPr>
      <w:t>11</w:t>
    </w:r>
    <w:r w:rsidRPr="002A367B">
      <w:rPr>
        <w:sz w:val="14"/>
        <w:szCs w:val="14"/>
      </w:rPr>
      <w:fldChar w:fldCharType="end"/>
    </w:r>
    <w:r w:rsidRPr="00F44190">
      <w:rPr>
        <w:sz w:val="14"/>
        <w:szCs w:val="14"/>
      </w:rPr>
      <w:t xml:space="preserve"> din </w:t>
    </w:r>
    <w:r>
      <w:rPr>
        <w:sz w:val="14"/>
        <w:szCs w:val="14"/>
      </w:rPr>
      <w:t>1</w:t>
    </w:r>
    <w:r w:rsidR="00FD3300">
      <w:rPr>
        <w:sz w:val="14"/>
        <w:szCs w:val="14"/>
      </w:rPr>
      <w:t>2</w:t>
    </w:r>
    <w:r>
      <w:rPr>
        <w:sz w:val="14"/>
        <w:szCs w:val="14"/>
      </w:rPr>
      <w:tab/>
      <w:t xml:space="preserve">                                                  Intocmit</w:t>
    </w:r>
  </w:p>
  <w:p w:rsidR="00F1310E" w:rsidRPr="00443AE8" w:rsidRDefault="00F1310E" w:rsidP="0034122E">
    <w:pPr>
      <w:pStyle w:val="Footer"/>
      <w:ind w:left="1134"/>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ARGEŞ </w:t>
    </w:r>
  </w:p>
  <w:p w:rsidR="00F1310E" w:rsidRPr="00443AE8" w:rsidRDefault="00F1310E" w:rsidP="0034122E">
    <w:pPr>
      <w:pStyle w:val="Footer"/>
      <w:ind w:left="1134"/>
      <w:rPr>
        <w:sz w:val="14"/>
        <w:szCs w:val="14"/>
      </w:rPr>
    </w:pPr>
    <w:r w:rsidRPr="00443AE8">
      <w:rPr>
        <w:sz w:val="14"/>
        <w:szCs w:val="14"/>
      </w:rPr>
      <w:t>Operator de d</w:t>
    </w:r>
    <w:r>
      <w:rPr>
        <w:sz w:val="14"/>
        <w:szCs w:val="14"/>
      </w:rPr>
      <w:t>ate cu caracter personal nr. 555                                                                                                                                                                                                                                          Chirita Florina</w:t>
    </w:r>
  </w:p>
  <w:p w:rsidR="00F1310E" w:rsidRPr="00FB7AC7" w:rsidRDefault="00F1310E" w:rsidP="0034122E">
    <w:pPr>
      <w:pStyle w:val="Footer"/>
      <w:ind w:left="1134"/>
      <w:rPr>
        <w:b/>
        <w:sz w:val="14"/>
        <w:szCs w:val="14"/>
      </w:rPr>
    </w:pPr>
    <w:r w:rsidRPr="00FB7AC7">
      <w:rPr>
        <w:rStyle w:val="Strong"/>
        <w:b w:val="0"/>
        <w:sz w:val="14"/>
        <w:szCs w:val="14"/>
      </w:rPr>
      <w:t>B-dul Republicii, Nr. 11, Piteşti</w:t>
    </w:r>
  </w:p>
  <w:p w:rsidR="00F1310E" w:rsidRDefault="00F1310E" w:rsidP="0034122E">
    <w:pPr>
      <w:pStyle w:val="Footer"/>
      <w:ind w:left="1134"/>
      <w:rPr>
        <w:sz w:val="14"/>
        <w:szCs w:val="14"/>
      </w:rPr>
    </w:pPr>
    <w:r>
      <w:rPr>
        <w:sz w:val="14"/>
        <w:szCs w:val="14"/>
      </w:rPr>
      <w:t>Tel.: +4 0248 222 415; FAX.: +4 0248 222 582</w:t>
    </w:r>
  </w:p>
  <w:p w:rsidR="00F1310E" w:rsidRDefault="00F1310E" w:rsidP="0034122E">
    <w:pPr>
      <w:pStyle w:val="Footer"/>
      <w:ind w:left="1134"/>
      <w:rPr>
        <w:sz w:val="14"/>
        <w:szCs w:val="14"/>
      </w:rPr>
    </w:pPr>
    <w:r>
      <w:rPr>
        <w:sz w:val="14"/>
        <w:szCs w:val="14"/>
      </w:rPr>
      <w:t xml:space="preserve">e-mail: </w:t>
    </w:r>
    <w:hyperlink r:id="rId1" w:history="1">
      <w:r w:rsidRPr="004410B7">
        <w:rPr>
          <w:rStyle w:val="Hyperlink"/>
          <w:sz w:val="14"/>
          <w:szCs w:val="14"/>
        </w:rPr>
        <w:t>ajofm@ag.anofm.ro</w:t>
      </w:r>
    </w:hyperlink>
  </w:p>
  <w:p w:rsidR="00F1310E" w:rsidRPr="00477274" w:rsidRDefault="00F1310E" w:rsidP="0034122E">
    <w:pPr>
      <w:pStyle w:val="Footer"/>
    </w:pPr>
    <w:r>
      <w:rPr>
        <w:b/>
        <w:sz w:val="14"/>
        <w:szCs w:val="14"/>
      </w:rPr>
      <w:t xml:space="preserve">                                 </w:t>
    </w:r>
    <w:r w:rsidRPr="00774272">
      <w:rPr>
        <w:sz w:val="14"/>
        <w:szCs w:val="14"/>
      </w:rPr>
      <w:t>www</w:t>
    </w:r>
    <w:r>
      <w:rPr>
        <w:sz w:val="14"/>
        <w:szCs w:val="14"/>
      </w:rPr>
      <w:t>.arges.anofm.ro</w:t>
    </w:r>
    <w:r w:rsidRPr="00774272">
      <w:rPr>
        <w:sz w:val="14"/>
        <w:szCs w:val="14"/>
      </w:rPr>
      <w:t>.;</w:t>
    </w:r>
    <w:r w:rsidRPr="00774272">
      <w:rPr>
        <w:b/>
        <w:sz w:val="14"/>
        <w:szCs w:val="14"/>
      </w:rPr>
      <w:t xml:space="preserve"> </w:t>
    </w:r>
    <w:r w:rsidRPr="00774272">
      <w:rPr>
        <w:sz w:val="14"/>
      </w:rPr>
      <w:t>www.facebook.com/</w:t>
    </w:r>
    <w:r w:rsidRPr="00C534A8">
      <w:rPr>
        <w:sz w:val="14"/>
      </w:rPr>
      <w:t>ajofmarges/</w:t>
    </w:r>
  </w:p>
  <w:p w:rsidR="00F1310E" w:rsidRDefault="00F1310E">
    <w:pPr>
      <w:pStyle w:val="Footer"/>
      <w:rPr>
        <w:sz w:val="14"/>
        <w:szCs w:val="14"/>
      </w:rPr>
    </w:pPr>
    <w:r>
      <w:rPr>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0E" w:rsidRPr="00702E2A" w:rsidRDefault="00F1310E" w:rsidP="0034122E">
    <w:pPr>
      <w:pStyle w:val="Footer"/>
      <w:ind w:left="1699"/>
      <w:rPr>
        <w:sz w:val="14"/>
        <w:szCs w:val="14"/>
      </w:rPr>
    </w:pPr>
  </w:p>
  <w:p w:rsidR="00F1310E" w:rsidRPr="00F44190" w:rsidRDefault="00F1310E" w:rsidP="0034122E">
    <w:pPr>
      <w:pStyle w:val="Footer"/>
      <w:ind w:left="1440"/>
      <w:rPr>
        <w:sz w:val="14"/>
        <w:szCs w:val="14"/>
      </w:rPr>
    </w:pPr>
    <w:r>
      <w:rPr>
        <w:sz w:val="14"/>
        <w:szCs w:val="14"/>
      </w:rPr>
      <w:t xml:space="preserve">                                                                                                                                                                                           </w:t>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sidR="006F2D21">
      <w:rPr>
        <w:noProof/>
        <w:sz w:val="14"/>
        <w:szCs w:val="14"/>
      </w:rPr>
      <w:t>1</w:t>
    </w:r>
    <w:r w:rsidRPr="002A367B">
      <w:rPr>
        <w:sz w:val="14"/>
        <w:szCs w:val="14"/>
      </w:rPr>
      <w:fldChar w:fldCharType="end"/>
    </w:r>
    <w:r w:rsidRPr="00F44190">
      <w:rPr>
        <w:sz w:val="14"/>
        <w:szCs w:val="14"/>
      </w:rPr>
      <w:t xml:space="preserve"> din </w:t>
    </w:r>
    <w:r>
      <w:rPr>
        <w:sz w:val="14"/>
        <w:szCs w:val="14"/>
      </w:rPr>
      <w:t>1</w:t>
    </w:r>
    <w:r w:rsidR="00FD3300">
      <w:rPr>
        <w:sz w:val="14"/>
        <w:szCs w:val="14"/>
      </w:rPr>
      <w:t>2</w:t>
    </w:r>
    <w:r>
      <w:rPr>
        <w:sz w:val="14"/>
        <w:szCs w:val="14"/>
      </w:rPr>
      <w:t xml:space="preserve">                                                                                                       Intocmit</w:t>
    </w:r>
  </w:p>
  <w:p w:rsidR="00F1310E" w:rsidRPr="00443AE8" w:rsidRDefault="00F1310E" w:rsidP="0034122E">
    <w:pPr>
      <w:pStyle w:val="Footer"/>
      <w:ind w:left="1134"/>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ARGEŞ</w:t>
    </w:r>
  </w:p>
  <w:p w:rsidR="00F1310E" w:rsidRPr="00443AE8" w:rsidRDefault="00F1310E" w:rsidP="0034122E">
    <w:pPr>
      <w:pStyle w:val="Footer"/>
      <w:ind w:left="1134"/>
      <w:rPr>
        <w:sz w:val="14"/>
        <w:szCs w:val="14"/>
      </w:rPr>
    </w:pPr>
    <w:r w:rsidRPr="00443AE8">
      <w:rPr>
        <w:sz w:val="14"/>
        <w:szCs w:val="14"/>
      </w:rPr>
      <w:t>Operator de d</w:t>
    </w:r>
    <w:r>
      <w:rPr>
        <w:sz w:val="14"/>
        <w:szCs w:val="14"/>
      </w:rPr>
      <w:t>ate cu caracter personal nr. 555                                                                                                                                                                                                                                                        Chirita Florina</w:t>
    </w:r>
  </w:p>
  <w:p w:rsidR="00F1310E" w:rsidRPr="00FB7AC7" w:rsidRDefault="00F1310E" w:rsidP="0034122E">
    <w:pPr>
      <w:pStyle w:val="Footer"/>
      <w:ind w:left="1134"/>
      <w:rPr>
        <w:b/>
        <w:sz w:val="14"/>
        <w:szCs w:val="14"/>
      </w:rPr>
    </w:pPr>
    <w:r w:rsidRPr="00FB7AC7">
      <w:rPr>
        <w:rStyle w:val="Strong"/>
        <w:b w:val="0"/>
        <w:sz w:val="14"/>
        <w:szCs w:val="14"/>
      </w:rPr>
      <w:t>B-dul Republicii, Nr. 11, Piteşti</w:t>
    </w:r>
  </w:p>
  <w:p w:rsidR="00F1310E" w:rsidRDefault="00F1310E" w:rsidP="00D8747F">
    <w:pPr>
      <w:pStyle w:val="Footer"/>
      <w:tabs>
        <w:tab w:val="clear" w:pos="4320"/>
        <w:tab w:val="left" w:pos="8640"/>
      </w:tabs>
      <w:ind w:left="1134"/>
      <w:rPr>
        <w:sz w:val="14"/>
        <w:szCs w:val="14"/>
      </w:rPr>
    </w:pPr>
    <w:r>
      <w:rPr>
        <w:sz w:val="14"/>
        <w:szCs w:val="14"/>
      </w:rPr>
      <w:t>Tel.: +4 0248 222 415; FAX.: +4 0248 222 582</w:t>
    </w:r>
    <w:r>
      <w:rPr>
        <w:sz w:val="14"/>
        <w:szCs w:val="14"/>
      </w:rPr>
      <w:tab/>
    </w:r>
  </w:p>
  <w:p w:rsidR="00F1310E" w:rsidRDefault="00F1310E" w:rsidP="0034122E">
    <w:pPr>
      <w:pStyle w:val="Footer"/>
      <w:ind w:left="1134"/>
      <w:rPr>
        <w:sz w:val="14"/>
        <w:szCs w:val="14"/>
      </w:rPr>
    </w:pPr>
    <w:r>
      <w:rPr>
        <w:sz w:val="14"/>
        <w:szCs w:val="14"/>
      </w:rPr>
      <w:t xml:space="preserve">e-mail: </w:t>
    </w:r>
    <w:hyperlink r:id="rId1" w:history="1">
      <w:r w:rsidRPr="004410B7">
        <w:rPr>
          <w:rStyle w:val="Hyperlink"/>
          <w:sz w:val="14"/>
          <w:szCs w:val="14"/>
        </w:rPr>
        <w:t>ajofm@ag.anofm.ro</w:t>
      </w:r>
    </w:hyperlink>
  </w:p>
  <w:p w:rsidR="00F1310E" w:rsidRPr="00477274" w:rsidRDefault="00F1310E" w:rsidP="0034122E">
    <w:pPr>
      <w:pStyle w:val="Footer"/>
    </w:pPr>
    <w:r>
      <w:rPr>
        <w:b/>
        <w:sz w:val="14"/>
        <w:szCs w:val="14"/>
      </w:rPr>
      <w:t xml:space="preserve">                                 </w:t>
    </w:r>
    <w:r w:rsidRPr="00774272">
      <w:rPr>
        <w:sz w:val="14"/>
        <w:szCs w:val="14"/>
      </w:rPr>
      <w:t>www</w:t>
    </w:r>
    <w:r>
      <w:rPr>
        <w:sz w:val="14"/>
        <w:szCs w:val="14"/>
      </w:rPr>
      <w:t>.arges.anofm.ro</w:t>
    </w:r>
    <w:r w:rsidRPr="00774272">
      <w:rPr>
        <w:sz w:val="14"/>
        <w:szCs w:val="14"/>
      </w:rPr>
      <w:t>.;</w:t>
    </w:r>
    <w:r w:rsidRPr="00774272">
      <w:rPr>
        <w:b/>
        <w:sz w:val="14"/>
        <w:szCs w:val="14"/>
      </w:rPr>
      <w:t xml:space="preserve"> </w:t>
    </w:r>
    <w:r w:rsidRPr="00774272">
      <w:rPr>
        <w:sz w:val="14"/>
      </w:rPr>
      <w:t>www.facebook.com/</w:t>
    </w:r>
    <w:r w:rsidRPr="00C534A8">
      <w:rPr>
        <w:sz w:val="14"/>
      </w:rPr>
      <w:t>ajofmarges/</w:t>
    </w:r>
  </w:p>
  <w:p w:rsidR="00F1310E" w:rsidRDefault="00F13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8F" w:rsidRDefault="004C238F">
      <w:r>
        <w:separator/>
      </w:r>
    </w:p>
  </w:footnote>
  <w:footnote w:type="continuationSeparator" w:id="0">
    <w:p w:rsidR="004C238F" w:rsidRDefault="004C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F1310E" w:rsidTr="005205CC">
      <w:tc>
        <w:tcPr>
          <w:tcW w:w="5103" w:type="dxa"/>
          <w:shd w:val="clear" w:color="auto" w:fill="auto"/>
        </w:tcPr>
        <w:p w:rsidR="00F1310E" w:rsidRDefault="00F1310E">
          <w:pPr>
            <w:pStyle w:val="MediumGrid21"/>
          </w:pPr>
        </w:p>
      </w:tc>
      <w:tc>
        <w:tcPr>
          <w:tcW w:w="4111" w:type="dxa"/>
          <w:shd w:val="clear" w:color="auto" w:fill="auto"/>
          <w:vAlign w:val="center"/>
        </w:tcPr>
        <w:p w:rsidR="00F1310E" w:rsidRDefault="00F1310E">
          <w:pPr>
            <w:pStyle w:val="MediumGrid21"/>
            <w:jc w:val="right"/>
          </w:pPr>
        </w:p>
      </w:tc>
    </w:tr>
  </w:tbl>
  <w:p w:rsidR="00F1310E" w:rsidRDefault="001144F3" w:rsidP="005205CC">
    <w:pPr>
      <w:pStyle w:val="Header"/>
    </w:pPr>
    <w:r>
      <w:rPr>
        <w:noProof/>
        <w:lang w:val="en-US" w:eastAsia="en-US"/>
      </w:rPr>
      <w:drawing>
        <wp:anchor distT="0" distB="0" distL="114300" distR="114300" simplePos="0" relativeHeight="251658240" behindDoc="0" locked="0" layoutInCell="1" allowOverlap="1" wp14:anchorId="180A53DF" wp14:editId="5F405DB0">
          <wp:simplePos x="0" y="0"/>
          <wp:positionH relativeFrom="column">
            <wp:posOffset>6505575</wp:posOffset>
          </wp:positionH>
          <wp:positionV relativeFrom="paragraph">
            <wp:posOffset>2540</wp:posOffset>
          </wp:positionV>
          <wp:extent cx="1285875" cy="695325"/>
          <wp:effectExtent l="0" t="0" r="9525" b="9525"/>
          <wp:wrapSquare wrapText="bothSides"/>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3F7">
      <w:rPr>
        <w:noProof/>
        <w:lang w:val="en-US" w:eastAsia="en-US"/>
      </w:rPr>
      <w:drawing>
        <wp:inline distT="0" distB="0" distL="0" distR="0" wp14:anchorId="4357144F" wp14:editId="7EB2FFB3">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rsidR="00F1310E">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72" w:type="dxa"/>
      <w:tblInd w:w="-142" w:type="dxa"/>
      <w:tblLayout w:type="fixed"/>
      <w:tblCellMar>
        <w:left w:w="0" w:type="dxa"/>
        <w:right w:w="0" w:type="dxa"/>
      </w:tblCellMar>
      <w:tblLook w:val="04A0" w:firstRow="1" w:lastRow="0" w:firstColumn="1" w:lastColumn="0" w:noHBand="0" w:noVBand="1"/>
    </w:tblPr>
    <w:tblGrid>
      <w:gridCol w:w="142"/>
      <w:gridCol w:w="4854"/>
      <w:gridCol w:w="2787"/>
      <w:gridCol w:w="3114"/>
      <w:gridCol w:w="855"/>
      <w:gridCol w:w="20"/>
    </w:tblGrid>
    <w:tr w:rsidR="00F1310E" w:rsidTr="005135F1">
      <w:trPr>
        <w:gridAfter w:val="2"/>
        <w:wAfter w:w="862" w:type="dxa"/>
      </w:trPr>
      <w:tc>
        <w:tcPr>
          <w:tcW w:w="5002" w:type="dxa"/>
          <w:gridSpan w:val="2"/>
          <w:shd w:val="clear" w:color="auto" w:fill="auto"/>
        </w:tcPr>
        <w:tbl>
          <w:tblPr>
            <w:tblW w:w="10923" w:type="dxa"/>
            <w:tblLayout w:type="fixed"/>
            <w:tblCellMar>
              <w:left w:w="0" w:type="dxa"/>
              <w:right w:w="0" w:type="dxa"/>
            </w:tblCellMar>
            <w:tblLook w:val="04A0" w:firstRow="1" w:lastRow="0" w:firstColumn="1" w:lastColumn="0" w:noHBand="0" w:noVBand="1"/>
          </w:tblPr>
          <w:tblGrid>
            <w:gridCol w:w="5015"/>
            <w:gridCol w:w="2790"/>
            <w:gridCol w:w="3118"/>
          </w:tblGrid>
          <w:tr w:rsidR="00F1310E" w:rsidTr="00F1310E">
            <w:tc>
              <w:tcPr>
                <w:tcW w:w="5015" w:type="dxa"/>
                <w:shd w:val="clear" w:color="auto" w:fill="auto"/>
              </w:tcPr>
              <w:p w:rsidR="00F1310E" w:rsidRPr="002D0CDC" w:rsidRDefault="00A453F7" w:rsidP="00F1310E">
                <w:pPr>
                  <w:pStyle w:val="MediumGrid21"/>
                  <w:rPr>
                    <w:lang w:val="ro-RO"/>
                  </w:rPr>
                </w:pPr>
                <w:r>
                  <w:rPr>
                    <w:noProof/>
                  </w:rPr>
                  <w:drawing>
                    <wp:inline distT="0" distB="0" distL="0" distR="0" wp14:anchorId="5949EE75" wp14:editId="044DDA5F">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F1310E" w:rsidRDefault="00F1310E" w:rsidP="00F1310E">
                <w:pPr>
                  <w:pStyle w:val="MediumGrid21"/>
                  <w:jc w:val="center"/>
                  <w:rPr>
                    <w:noProof/>
                    <w:lang w:val="ro-RO" w:eastAsia="ro-RO"/>
                  </w:rPr>
                </w:pPr>
              </w:p>
            </w:tc>
            <w:tc>
              <w:tcPr>
                <w:tcW w:w="3118" w:type="dxa"/>
                <w:shd w:val="clear" w:color="auto" w:fill="auto"/>
                <w:vAlign w:val="center"/>
              </w:tcPr>
              <w:p w:rsidR="00F1310E" w:rsidRPr="002D0CDC" w:rsidRDefault="00F1310E" w:rsidP="00F1310E">
                <w:pPr>
                  <w:pStyle w:val="MediumGrid21"/>
                  <w:jc w:val="right"/>
                  <w:rPr>
                    <w:lang w:val="ro-RO"/>
                  </w:rPr>
                </w:pPr>
                <w:r>
                  <w:rPr>
                    <w:noProof/>
                  </w:rPr>
                  <w:drawing>
                    <wp:inline distT="0" distB="0" distL="0" distR="0" wp14:anchorId="39BF1626" wp14:editId="72C18D03">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F1310E" w:rsidRPr="002D0CDC" w:rsidRDefault="00F1310E" w:rsidP="00F1310E">
          <w:pPr>
            <w:pStyle w:val="MediumGrid21"/>
            <w:rPr>
              <w:lang w:val="ro-RO"/>
            </w:rPr>
          </w:pPr>
        </w:p>
      </w:tc>
      <w:tc>
        <w:tcPr>
          <w:tcW w:w="2790" w:type="dxa"/>
          <w:vAlign w:val="center"/>
        </w:tcPr>
        <w:p w:rsidR="00F1310E" w:rsidRDefault="00F1310E" w:rsidP="00F1310E">
          <w:pPr>
            <w:pStyle w:val="MediumGrid21"/>
            <w:jc w:val="center"/>
            <w:rPr>
              <w:noProof/>
              <w:lang w:val="ro-RO" w:eastAsia="ro-RO"/>
            </w:rPr>
          </w:pPr>
        </w:p>
      </w:tc>
      <w:tc>
        <w:tcPr>
          <w:tcW w:w="3118" w:type="dxa"/>
          <w:shd w:val="clear" w:color="auto" w:fill="auto"/>
          <w:vAlign w:val="center"/>
        </w:tcPr>
        <w:p w:rsidR="00F1310E" w:rsidRPr="002D0CDC" w:rsidRDefault="00F1310E" w:rsidP="00F1310E">
          <w:pPr>
            <w:pStyle w:val="MediumGrid21"/>
            <w:jc w:val="right"/>
            <w:rPr>
              <w:lang w:val="ro-RO"/>
            </w:rPr>
          </w:pPr>
          <w:r>
            <w:rPr>
              <w:noProof/>
            </w:rPr>
            <w:drawing>
              <wp:inline distT="0" distB="0" distL="0" distR="0" wp14:anchorId="064BAACC" wp14:editId="1FE40D95">
                <wp:extent cx="1285875" cy="609600"/>
                <wp:effectExtent l="0" t="0" r="9525"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609600"/>
                        </a:xfrm>
                        <a:prstGeom prst="rect">
                          <a:avLst/>
                        </a:prstGeom>
                        <a:noFill/>
                        <a:ln>
                          <a:noFill/>
                        </a:ln>
                      </pic:spPr>
                    </pic:pic>
                  </a:graphicData>
                </a:graphic>
              </wp:inline>
            </w:drawing>
          </w:r>
        </w:p>
      </w:tc>
    </w:tr>
    <w:tr w:rsidR="00F1310E" w:rsidTr="00F1310E">
      <w:trPr>
        <w:gridBefore w:val="1"/>
        <w:wBefore w:w="142" w:type="dxa"/>
        <w:trHeight w:val="80"/>
      </w:trPr>
      <w:tc>
        <w:tcPr>
          <w:tcW w:w="11624" w:type="dxa"/>
          <w:gridSpan w:val="4"/>
          <w:shd w:val="clear" w:color="auto" w:fill="auto"/>
        </w:tcPr>
        <w:p w:rsidR="00F1310E" w:rsidRPr="00B44471" w:rsidRDefault="00F1310E" w:rsidP="005205CC">
          <w:pPr>
            <w:pStyle w:val="MediumGrid21"/>
            <w:tabs>
              <w:tab w:val="left" w:pos="6585"/>
            </w:tabs>
            <w:rPr>
              <w:lang w:val="ro-RO"/>
            </w:rPr>
          </w:pPr>
          <w:r>
            <w:rPr>
              <w:noProof/>
              <w:sz w:val="22"/>
              <w:szCs w:val="22"/>
              <w:lang w:val="ro-RO" w:eastAsia="ro-RO"/>
            </w:rPr>
            <w:t xml:space="preserve">            </w:t>
          </w:r>
          <w:r>
            <w:rPr>
              <w:noProof/>
              <w:sz w:val="22"/>
              <w:szCs w:val="22"/>
              <w:lang w:val="ro-RO" w:eastAsia="ro-RO"/>
            </w:rPr>
            <w:tab/>
          </w:r>
        </w:p>
      </w:tc>
      <w:tc>
        <w:tcPr>
          <w:tcW w:w="6" w:type="dxa"/>
          <w:shd w:val="clear" w:color="auto" w:fill="auto"/>
          <w:vAlign w:val="center"/>
        </w:tcPr>
        <w:p w:rsidR="00F1310E" w:rsidRDefault="00F1310E" w:rsidP="00F1310E">
          <w:pPr>
            <w:pStyle w:val="MediumGrid21"/>
            <w:jc w:val="right"/>
          </w:pPr>
        </w:p>
      </w:tc>
    </w:tr>
  </w:tbl>
  <w:p w:rsidR="00F1310E" w:rsidRDefault="00F13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66A0E"/>
    <w:rsid w:val="000C099A"/>
    <w:rsid w:val="000D3712"/>
    <w:rsid w:val="000E5F61"/>
    <w:rsid w:val="001144F3"/>
    <w:rsid w:val="00170ED2"/>
    <w:rsid w:val="00196407"/>
    <w:rsid w:val="00197391"/>
    <w:rsid w:val="001A3483"/>
    <w:rsid w:val="001A4F6E"/>
    <w:rsid w:val="001D5B64"/>
    <w:rsid w:val="00235B73"/>
    <w:rsid w:val="00256072"/>
    <w:rsid w:val="00286B9D"/>
    <w:rsid w:val="00291C71"/>
    <w:rsid w:val="002B5B82"/>
    <w:rsid w:val="002B7137"/>
    <w:rsid w:val="003113FA"/>
    <w:rsid w:val="0034122E"/>
    <w:rsid w:val="003532F3"/>
    <w:rsid w:val="003C572E"/>
    <w:rsid w:val="003D6968"/>
    <w:rsid w:val="003E0486"/>
    <w:rsid w:val="004535D7"/>
    <w:rsid w:val="004C238F"/>
    <w:rsid w:val="004D6C7A"/>
    <w:rsid w:val="00503B77"/>
    <w:rsid w:val="005135F1"/>
    <w:rsid w:val="005205CC"/>
    <w:rsid w:val="0052328A"/>
    <w:rsid w:val="00534A3C"/>
    <w:rsid w:val="0056394B"/>
    <w:rsid w:val="005F0F7F"/>
    <w:rsid w:val="006848C7"/>
    <w:rsid w:val="006C7DB9"/>
    <w:rsid w:val="006E1D74"/>
    <w:rsid w:val="006F2D21"/>
    <w:rsid w:val="00704241"/>
    <w:rsid w:val="007D15C7"/>
    <w:rsid w:val="007D1CAF"/>
    <w:rsid w:val="00881DA2"/>
    <w:rsid w:val="008A3602"/>
    <w:rsid w:val="008B39BA"/>
    <w:rsid w:val="008F5D44"/>
    <w:rsid w:val="009168BD"/>
    <w:rsid w:val="0092186D"/>
    <w:rsid w:val="00972B80"/>
    <w:rsid w:val="009862D0"/>
    <w:rsid w:val="009979ED"/>
    <w:rsid w:val="009F2760"/>
    <w:rsid w:val="00A31FC6"/>
    <w:rsid w:val="00A453F7"/>
    <w:rsid w:val="00AB6770"/>
    <w:rsid w:val="00AE57DB"/>
    <w:rsid w:val="00B1076A"/>
    <w:rsid w:val="00B14DE8"/>
    <w:rsid w:val="00B46B72"/>
    <w:rsid w:val="00B51DD8"/>
    <w:rsid w:val="00B92FBC"/>
    <w:rsid w:val="00C01192"/>
    <w:rsid w:val="00C03543"/>
    <w:rsid w:val="00C13DA6"/>
    <w:rsid w:val="00C55328"/>
    <w:rsid w:val="00C84DB6"/>
    <w:rsid w:val="00CA4350"/>
    <w:rsid w:val="00CA639E"/>
    <w:rsid w:val="00D11D48"/>
    <w:rsid w:val="00D25D58"/>
    <w:rsid w:val="00D62C1B"/>
    <w:rsid w:val="00D71E46"/>
    <w:rsid w:val="00D8747F"/>
    <w:rsid w:val="00DA04FF"/>
    <w:rsid w:val="00DD37F0"/>
    <w:rsid w:val="00DF19F5"/>
    <w:rsid w:val="00E048AE"/>
    <w:rsid w:val="00E20652"/>
    <w:rsid w:val="00E37E83"/>
    <w:rsid w:val="00E50E3C"/>
    <w:rsid w:val="00E83280"/>
    <w:rsid w:val="00EB1628"/>
    <w:rsid w:val="00F1310E"/>
    <w:rsid w:val="00F47B39"/>
    <w:rsid w:val="00F75B9A"/>
    <w:rsid w:val="00F7776C"/>
    <w:rsid w:val="00FB7AC7"/>
    <w:rsid w:val="00FD330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1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1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ag.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ag.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653C-1A2D-49D5-A59F-0E2874C6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Florina Chirita</cp:lastModifiedBy>
  <cp:revision>10</cp:revision>
  <cp:lastPrinted>2023-02-09T14:09:00Z</cp:lastPrinted>
  <dcterms:created xsi:type="dcterms:W3CDTF">2023-02-09T14:09:00Z</dcterms:created>
  <dcterms:modified xsi:type="dcterms:W3CDTF">2023-02-14T08:31:00Z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