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B6" w:rsidRPr="00570BB9" w:rsidRDefault="007A78AD" w:rsidP="00381CB6">
      <w:pPr>
        <w:ind w:left="0"/>
        <w:jc w:val="right"/>
        <w:rPr>
          <w:lang w:val="ro-RO"/>
        </w:rPr>
      </w:pPr>
      <w:r>
        <w:rPr>
          <w:lang w:val="ro-RO"/>
        </w:rPr>
        <w:t>3</w:t>
      </w:r>
      <w:r w:rsidR="00FF4735">
        <w:rPr>
          <w:lang w:val="ro-RO"/>
        </w:rPr>
        <w:t xml:space="preserve"> </w:t>
      </w:r>
      <w:r w:rsidR="00B26B26">
        <w:rPr>
          <w:lang w:val="ro-RO"/>
        </w:rPr>
        <w:t>Octombrie</w:t>
      </w:r>
      <w:r w:rsidR="00FF4735">
        <w:rPr>
          <w:lang w:val="ro-RO"/>
        </w:rPr>
        <w:t xml:space="preserve"> 2019</w:t>
      </w:r>
    </w:p>
    <w:p w:rsidR="00381CB6" w:rsidRPr="00570BB9" w:rsidRDefault="00381CB6" w:rsidP="00AD46D8">
      <w:pPr>
        <w:ind w:left="720"/>
        <w:rPr>
          <w:rFonts w:eastAsia="Times New Roman" w:cs="Arial"/>
        </w:rPr>
      </w:pPr>
      <w:r w:rsidRPr="00570BB9">
        <w:rPr>
          <w:rFonts w:eastAsia="Times New Roman" w:cs="Arial"/>
        </w:rPr>
        <w:t>Comunicat de presă</w:t>
      </w:r>
    </w:p>
    <w:p w:rsidR="00A31D8D" w:rsidRPr="00570BB9" w:rsidRDefault="00B26B26" w:rsidP="00A31D8D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>
        <w:rPr>
          <w:rFonts w:cs="Trebuchet MS"/>
          <w:b/>
          <w:bCs/>
        </w:rPr>
        <w:t>3</w:t>
      </w:r>
      <w:r w:rsidR="00A31D8D" w:rsidRPr="00570BB9">
        <w:rPr>
          <w:rFonts w:cs="Trebuchet MS"/>
          <w:b/>
          <w:bCs/>
        </w:rPr>
        <w:t>,</w:t>
      </w:r>
      <w:r>
        <w:rPr>
          <w:rFonts w:cs="Trebuchet MS"/>
          <w:b/>
          <w:bCs/>
        </w:rPr>
        <w:t>09</w:t>
      </w:r>
      <w:r w:rsidR="00A31D8D" w:rsidRPr="00570BB9">
        <w:rPr>
          <w:rFonts w:cs="Trebuchet MS"/>
          <w:b/>
          <w:bCs/>
        </w:rPr>
        <w:t xml:space="preserve">% -  rata </w:t>
      </w:r>
      <w:r w:rsidR="00A31D8D" w:rsidRPr="00570BB9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>
        <w:rPr>
          <w:rFonts w:cs="Trebuchet MS"/>
          <w:b/>
          <w:bCs/>
          <w:lang w:val="ro-RO"/>
        </w:rPr>
        <w:t>august</w:t>
      </w:r>
      <w:r w:rsidR="00476018" w:rsidRPr="00570BB9">
        <w:rPr>
          <w:rFonts w:cs="Trebuchet MS"/>
          <w:b/>
          <w:bCs/>
          <w:lang w:val="ro-RO"/>
        </w:rPr>
        <w:t xml:space="preserve"> </w:t>
      </w:r>
      <w:r w:rsidR="00A31D8D" w:rsidRPr="00570BB9">
        <w:rPr>
          <w:rFonts w:cs="Trebuchet MS"/>
          <w:b/>
          <w:bCs/>
          <w:lang w:val="ro-RO"/>
        </w:rPr>
        <w:t>201</w:t>
      </w:r>
      <w:r w:rsidR="002055CC" w:rsidRPr="00570BB9">
        <w:rPr>
          <w:rFonts w:cs="Trebuchet MS"/>
          <w:b/>
          <w:bCs/>
          <w:lang w:val="ro-RO"/>
        </w:rPr>
        <w:t>9</w:t>
      </w:r>
    </w:p>
    <w:p w:rsidR="00A561FD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La sfârşitul lunii </w:t>
      </w:r>
      <w:r w:rsidR="00B26B26">
        <w:rPr>
          <w:rFonts w:cs="Arial"/>
        </w:rPr>
        <w:t>august</w:t>
      </w:r>
      <w:r w:rsidR="00476018" w:rsidRPr="00570BB9">
        <w:rPr>
          <w:rFonts w:cs="Arial"/>
        </w:rPr>
        <w:t xml:space="preserve"> </w:t>
      </w:r>
      <w:r w:rsidRPr="00570BB9">
        <w:rPr>
          <w:rFonts w:cs="Arial"/>
        </w:rPr>
        <w:t>2019, rata şomajului înregistrat la nivelul jude</w:t>
      </w:r>
      <w:r w:rsidR="00E07B0A" w:rsidRPr="00570BB9">
        <w:rPr>
          <w:rFonts w:cs="Arial"/>
        </w:rPr>
        <w:t>ţ</w:t>
      </w:r>
      <w:r w:rsidRPr="00570BB9">
        <w:rPr>
          <w:rFonts w:cs="Arial"/>
        </w:rPr>
        <w:t>ului Cara</w:t>
      </w:r>
      <w:r w:rsidR="00E07B0A" w:rsidRPr="00570BB9">
        <w:rPr>
          <w:rFonts w:cs="Arial"/>
        </w:rPr>
        <w:t>ş</w:t>
      </w:r>
      <w:r w:rsidRPr="00570BB9">
        <w:rPr>
          <w:rFonts w:cs="Arial"/>
        </w:rPr>
        <w:t xml:space="preserve">-Severin a fost de </w:t>
      </w:r>
      <w:r w:rsidR="00B26B26">
        <w:rPr>
          <w:rFonts w:cs="Arial"/>
        </w:rPr>
        <w:t>3</w:t>
      </w:r>
      <w:r w:rsidRPr="00570BB9">
        <w:rPr>
          <w:rFonts w:cs="Arial"/>
        </w:rPr>
        <w:t>,</w:t>
      </w:r>
      <w:r w:rsidR="00B26B26">
        <w:rPr>
          <w:rFonts w:cs="Arial"/>
        </w:rPr>
        <w:t>0</w:t>
      </w:r>
      <w:r w:rsidR="000B6907">
        <w:rPr>
          <w:rFonts w:cs="Arial"/>
        </w:rPr>
        <w:t>9</w:t>
      </w:r>
      <w:r w:rsidRPr="00570BB9">
        <w:rPr>
          <w:rFonts w:cs="Arial"/>
        </w:rPr>
        <w:t>%,</w:t>
      </w:r>
      <w:r w:rsidR="00B26B26">
        <w:rPr>
          <w:rFonts w:cs="Arial"/>
        </w:rPr>
        <w:t xml:space="preserve"> mai mare cu </w:t>
      </w:r>
      <w:r w:rsidRPr="008940E8">
        <w:rPr>
          <w:rFonts w:cs="Arial"/>
        </w:rPr>
        <w:t>0,</w:t>
      </w:r>
      <w:r w:rsidR="00B26B26">
        <w:rPr>
          <w:rFonts w:cs="Arial"/>
        </w:rPr>
        <w:t>10</w:t>
      </w:r>
      <w:r w:rsidRPr="00570BB9">
        <w:rPr>
          <w:rFonts w:cs="Arial"/>
        </w:rPr>
        <w:t xml:space="preserve"> pp </w:t>
      </w:r>
      <w:r w:rsidR="00B26B26">
        <w:rPr>
          <w:rFonts w:cs="Arial"/>
        </w:rPr>
        <w:t>decât cea din luna anterioară şi cu 0,37 pp mai mică decât cea din luna august 2018</w:t>
      </w:r>
      <w:r w:rsidRPr="00570BB9">
        <w:rPr>
          <w:rFonts w:cs="Arial"/>
        </w:rPr>
        <w:t>.</w:t>
      </w:r>
      <w:r w:rsidR="00A561FD">
        <w:rPr>
          <w:rFonts w:cs="Arial"/>
        </w:rPr>
        <w:t xml:space="preserve"> Faţă de luna anterioară s-a înregistrat o creştere de </w:t>
      </w:r>
      <w:r w:rsidR="00A561FD" w:rsidRPr="00570BB9">
        <w:rPr>
          <w:rFonts w:cs="Arial"/>
        </w:rPr>
        <w:t>0,</w:t>
      </w:r>
      <w:r w:rsidR="000B6907">
        <w:rPr>
          <w:rFonts w:cs="Arial"/>
        </w:rPr>
        <w:t>1</w:t>
      </w:r>
      <w:r w:rsidR="00B26B26">
        <w:rPr>
          <w:rFonts w:cs="Arial"/>
        </w:rPr>
        <w:t>0</w:t>
      </w:r>
      <w:r w:rsidR="000B6907">
        <w:rPr>
          <w:rFonts w:cs="Arial"/>
        </w:rPr>
        <w:t xml:space="preserve"> </w:t>
      </w:r>
      <w:r w:rsidR="00A561FD" w:rsidRPr="00570BB9">
        <w:rPr>
          <w:rFonts w:cs="Arial"/>
        </w:rPr>
        <w:t>pp</w:t>
      </w:r>
      <w:r w:rsidR="00A561FD">
        <w:rPr>
          <w:rFonts w:cs="Arial"/>
        </w:rPr>
        <w:t>, tendinţa uşor ascendentă a ratei şomajului fiind influenţată de înregistrarea absolvenţilor unităţilor de învăţământ în evidenţele AJOFM Caraş-Severin.</w:t>
      </w:r>
    </w:p>
    <w:p w:rsidR="00596089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Numărul total de şomeri la finele lunii </w:t>
      </w:r>
      <w:r w:rsidR="00B26B26">
        <w:rPr>
          <w:rFonts w:cs="Arial"/>
        </w:rPr>
        <w:t>august</w:t>
      </w:r>
      <w:r w:rsidR="000B6907">
        <w:rPr>
          <w:rFonts w:cs="Arial"/>
        </w:rPr>
        <w:t>,</w:t>
      </w:r>
      <w:r w:rsidR="00596089" w:rsidRPr="00570BB9">
        <w:rPr>
          <w:rFonts w:cs="Arial"/>
        </w:rPr>
        <w:t xml:space="preserve"> de </w:t>
      </w:r>
      <w:r w:rsidR="00E07B0A" w:rsidRPr="00570BB9">
        <w:rPr>
          <w:rFonts w:cs="Arial"/>
        </w:rPr>
        <w:t>3</w:t>
      </w:r>
      <w:r w:rsidRPr="00570BB9">
        <w:rPr>
          <w:rFonts w:cs="Arial"/>
        </w:rPr>
        <w:t>.</w:t>
      </w:r>
      <w:r w:rsidR="00B26B26">
        <w:rPr>
          <w:rFonts w:cs="Arial"/>
        </w:rPr>
        <w:t>380</w:t>
      </w:r>
      <w:r w:rsidRPr="00570BB9">
        <w:rPr>
          <w:rFonts w:cs="Arial"/>
        </w:rPr>
        <w:t xml:space="preserve"> persoane</w:t>
      </w:r>
      <w:r w:rsidR="000B6907">
        <w:rPr>
          <w:rFonts w:cs="Arial"/>
        </w:rPr>
        <w:t>, a crescut cu 1</w:t>
      </w:r>
      <w:r w:rsidR="00B26B26">
        <w:rPr>
          <w:rFonts w:cs="Arial"/>
        </w:rPr>
        <w:t>14</w:t>
      </w:r>
      <w:r w:rsidR="000B6907">
        <w:rPr>
          <w:rFonts w:cs="Arial"/>
        </w:rPr>
        <w:t xml:space="preserve"> persoane faţă de cel de la finele lunii anterioare</w:t>
      </w:r>
      <w:r w:rsidR="00596089" w:rsidRPr="00570BB9">
        <w:rPr>
          <w:rFonts w:cs="Arial"/>
        </w:rPr>
        <w:t xml:space="preserve">. Din totalul şomerilor înregistraţi, </w:t>
      </w:r>
      <w:r w:rsidR="00B26B26">
        <w:rPr>
          <w:rFonts w:cs="Arial"/>
        </w:rPr>
        <w:t>976</w:t>
      </w:r>
      <w:r w:rsidR="00596089" w:rsidRPr="00570BB9">
        <w:rPr>
          <w:rFonts w:cs="Arial"/>
        </w:rPr>
        <w:t xml:space="preserve"> au fost şomeri indemnizaţi şi 2.</w:t>
      </w:r>
      <w:r w:rsidR="00B26B26">
        <w:rPr>
          <w:rFonts w:cs="Arial"/>
        </w:rPr>
        <w:t>404</w:t>
      </w:r>
      <w:r w:rsidR="00596089" w:rsidRPr="00570BB9">
        <w:rPr>
          <w:rFonts w:cs="Arial"/>
        </w:rPr>
        <w:t xml:space="preserve"> şomeri neindemnizaţi. Comparativ cu luna precedentă, rata şomajului masculin a </w:t>
      </w:r>
      <w:r w:rsidR="00B26B26">
        <w:rPr>
          <w:rFonts w:cs="Arial"/>
        </w:rPr>
        <w:t>scăzut</w:t>
      </w:r>
      <w:r w:rsidR="00596089" w:rsidRPr="00570BB9">
        <w:rPr>
          <w:rFonts w:cs="Arial"/>
        </w:rPr>
        <w:t xml:space="preserve"> de la </w:t>
      </w:r>
      <w:r w:rsidR="00B26B26">
        <w:rPr>
          <w:rFonts w:cs="Arial"/>
        </w:rPr>
        <w:t>3</w:t>
      </w:r>
      <w:r w:rsidR="00596089" w:rsidRPr="00570BB9">
        <w:rPr>
          <w:rFonts w:cs="Arial"/>
        </w:rPr>
        <w:t>,</w:t>
      </w:r>
      <w:r w:rsidR="00B26B26">
        <w:rPr>
          <w:rFonts w:cs="Arial"/>
        </w:rPr>
        <w:t>06</w:t>
      </w:r>
      <w:r w:rsidR="00596089" w:rsidRPr="00570BB9">
        <w:rPr>
          <w:rFonts w:cs="Arial"/>
        </w:rPr>
        <w:t xml:space="preserve">% la </w:t>
      </w:r>
      <w:r w:rsidR="000B6907">
        <w:rPr>
          <w:rFonts w:cs="Arial"/>
        </w:rPr>
        <w:t>3</w:t>
      </w:r>
      <w:r w:rsidR="00596089" w:rsidRPr="00570BB9">
        <w:rPr>
          <w:rFonts w:cs="Arial"/>
        </w:rPr>
        <w:t>,</w:t>
      </w:r>
      <w:r w:rsidR="000B6907">
        <w:rPr>
          <w:rFonts w:cs="Arial"/>
        </w:rPr>
        <w:t>0</w:t>
      </w:r>
      <w:r w:rsidR="00B26B26">
        <w:rPr>
          <w:rFonts w:cs="Arial"/>
        </w:rPr>
        <w:t>3</w:t>
      </w:r>
      <w:r w:rsidR="00596089" w:rsidRPr="00570BB9">
        <w:rPr>
          <w:rFonts w:cs="Arial"/>
        </w:rPr>
        <w:t xml:space="preserve">%, iar rata şomajului feminin a </w:t>
      </w:r>
      <w:r w:rsidR="000F6F12">
        <w:rPr>
          <w:rFonts w:cs="Arial"/>
        </w:rPr>
        <w:t>crescut</w:t>
      </w:r>
      <w:r w:rsidR="00596089" w:rsidRPr="00570BB9">
        <w:rPr>
          <w:rFonts w:cs="Arial"/>
        </w:rPr>
        <w:t xml:space="preserve"> de la </w:t>
      </w:r>
      <w:r w:rsidR="000F6F12">
        <w:rPr>
          <w:rFonts w:cs="Arial"/>
        </w:rPr>
        <w:t>2</w:t>
      </w:r>
      <w:r w:rsidR="00596089" w:rsidRPr="00570BB9">
        <w:rPr>
          <w:rFonts w:cs="Arial"/>
        </w:rPr>
        <w:t>,</w:t>
      </w:r>
      <w:r w:rsidR="00B26B26">
        <w:rPr>
          <w:rFonts w:cs="Arial"/>
        </w:rPr>
        <w:t>92</w:t>
      </w:r>
      <w:r w:rsidR="00596089" w:rsidRPr="00570BB9">
        <w:rPr>
          <w:rFonts w:cs="Arial"/>
        </w:rPr>
        <w:t xml:space="preserve">% la </w:t>
      </w:r>
      <w:r w:rsidR="00B26B26">
        <w:rPr>
          <w:rFonts w:cs="Arial"/>
        </w:rPr>
        <w:t>3</w:t>
      </w:r>
      <w:r w:rsidR="00596089" w:rsidRPr="00570BB9">
        <w:rPr>
          <w:rFonts w:cs="Arial"/>
        </w:rPr>
        <w:t>,</w:t>
      </w:r>
      <w:r w:rsidR="00B26B26">
        <w:rPr>
          <w:rFonts w:cs="Arial"/>
        </w:rPr>
        <w:t>17</w:t>
      </w:r>
      <w:r w:rsidR="00596089" w:rsidRPr="00570BB9">
        <w:rPr>
          <w:rFonts w:cs="Arial"/>
        </w:rPr>
        <w:t>%.</w:t>
      </w:r>
    </w:p>
    <w:p w:rsidR="0041313A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În funcție de mediul de rezidență, numărul şomerilor la finele lunii </w:t>
      </w:r>
      <w:r w:rsidR="00B26B26">
        <w:rPr>
          <w:rFonts w:cs="Arial"/>
        </w:rPr>
        <w:t>august</w:t>
      </w:r>
      <w:r w:rsidR="00C57DFB" w:rsidRPr="00570BB9">
        <w:rPr>
          <w:rFonts w:cs="Arial"/>
        </w:rPr>
        <w:t xml:space="preserve"> </w:t>
      </w:r>
      <w:r w:rsidRPr="00570BB9">
        <w:rPr>
          <w:rFonts w:cs="Arial"/>
        </w:rPr>
        <w:t xml:space="preserve">se prezintă astfel: </w:t>
      </w:r>
      <w:r w:rsidR="00D54849" w:rsidRPr="00570BB9">
        <w:rPr>
          <w:rFonts w:cs="Arial"/>
        </w:rPr>
        <w:t>1</w:t>
      </w:r>
      <w:r w:rsidRPr="00570BB9">
        <w:rPr>
          <w:rFonts w:cs="Arial"/>
        </w:rPr>
        <w:t>.</w:t>
      </w:r>
      <w:r w:rsidR="00B26B26">
        <w:rPr>
          <w:rFonts w:cs="Arial"/>
        </w:rPr>
        <w:t>401</w:t>
      </w:r>
      <w:r w:rsidR="00C57DFB" w:rsidRPr="00570BB9">
        <w:rPr>
          <w:rFonts w:cs="Arial"/>
        </w:rPr>
        <w:t xml:space="preserve"> </w:t>
      </w:r>
      <w:r w:rsidRPr="00570BB9">
        <w:rPr>
          <w:rFonts w:cs="Arial"/>
        </w:rPr>
        <w:t xml:space="preserve"> şomeri provin din mediul urban şi </w:t>
      </w:r>
      <w:r w:rsidR="00C57DFB" w:rsidRPr="00570BB9">
        <w:rPr>
          <w:rFonts w:cs="Arial"/>
        </w:rPr>
        <w:t>1</w:t>
      </w:r>
      <w:r w:rsidRPr="00570BB9">
        <w:rPr>
          <w:rFonts w:cs="Arial"/>
        </w:rPr>
        <w:t>.</w:t>
      </w:r>
      <w:r w:rsidR="000B6907">
        <w:rPr>
          <w:rFonts w:cs="Arial"/>
        </w:rPr>
        <w:t>9</w:t>
      </w:r>
      <w:r w:rsidR="00B26B26">
        <w:rPr>
          <w:rFonts w:cs="Arial"/>
        </w:rPr>
        <w:t>79</w:t>
      </w:r>
      <w:r w:rsidRPr="00570BB9">
        <w:rPr>
          <w:rFonts w:cs="Arial"/>
        </w:rPr>
        <w:t xml:space="preserve"> şomeri provin din mediul rural.</w:t>
      </w:r>
    </w:p>
    <w:p w:rsidR="0041313A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>Cei mai mulţi şomeri aveau între 40 –49 de ani (</w:t>
      </w:r>
      <w:r w:rsidR="00476018" w:rsidRPr="00570BB9">
        <w:rPr>
          <w:rFonts w:cs="Arial"/>
        </w:rPr>
        <w:t>8</w:t>
      </w:r>
      <w:r w:rsidR="000B6907">
        <w:rPr>
          <w:rFonts w:cs="Arial"/>
        </w:rPr>
        <w:t>7</w:t>
      </w:r>
      <w:r w:rsidR="00B26B26">
        <w:rPr>
          <w:rFonts w:cs="Arial"/>
        </w:rPr>
        <w:t>6</w:t>
      </w:r>
      <w:r w:rsidRPr="00570BB9">
        <w:rPr>
          <w:rFonts w:cs="Arial"/>
        </w:rPr>
        <w:t>), urmaţi de cei din grupa de vârstă peste 55 de ani (</w:t>
      </w:r>
      <w:r w:rsidR="000B6907">
        <w:rPr>
          <w:rFonts w:cs="Arial"/>
        </w:rPr>
        <w:t>7</w:t>
      </w:r>
      <w:r w:rsidR="00B26B26">
        <w:rPr>
          <w:rFonts w:cs="Arial"/>
        </w:rPr>
        <w:t>3</w:t>
      </w:r>
      <w:r w:rsidR="000B6907">
        <w:rPr>
          <w:rFonts w:cs="Arial"/>
        </w:rPr>
        <w:t>2</w:t>
      </w:r>
      <w:r w:rsidRPr="00570BB9">
        <w:rPr>
          <w:rFonts w:cs="Arial"/>
        </w:rPr>
        <w:t>), la polul opus aflându-se persoanele</w:t>
      </w:r>
      <w:r w:rsidR="00C57DFB" w:rsidRPr="00570BB9">
        <w:rPr>
          <w:rFonts w:cs="Arial"/>
        </w:rPr>
        <w:t xml:space="preserve"> </w:t>
      </w:r>
      <w:r w:rsidRPr="00570BB9">
        <w:rPr>
          <w:rFonts w:cs="Arial"/>
        </w:rPr>
        <w:t>între 25 –29 de ani (1</w:t>
      </w:r>
      <w:r w:rsidR="00B26B26">
        <w:rPr>
          <w:rFonts w:cs="Arial"/>
        </w:rPr>
        <w:t>81</w:t>
      </w:r>
      <w:r w:rsidRPr="00570BB9">
        <w:rPr>
          <w:rFonts w:cs="Arial"/>
        </w:rPr>
        <w:t>)</w:t>
      </w:r>
      <w:r w:rsidR="00480E04" w:rsidRPr="00570BB9">
        <w:rPr>
          <w:rFonts w:cs="Arial"/>
        </w:rPr>
        <w:t>.</w:t>
      </w:r>
    </w:p>
    <w:p w:rsidR="00A31D8D" w:rsidRPr="00570BB9" w:rsidRDefault="00A31D8D" w:rsidP="00A31D8D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r w:rsidRPr="00570BB9">
        <w:rPr>
          <w:rFonts w:cs="Trebuchet MS"/>
        </w:rPr>
        <w:t>Structura șomajului pe grupe de vârste</w:t>
      </w:r>
      <w:r w:rsidR="00E146D5" w:rsidRPr="00570BB9">
        <w:rPr>
          <w:rFonts w:cs="Trebuchet MS"/>
        </w:rPr>
        <w:t xml:space="preserve"> la finele lunii </w:t>
      </w:r>
      <w:r w:rsidR="00B26B26">
        <w:rPr>
          <w:rFonts w:cs="Trebuchet MS"/>
        </w:rPr>
        <w:t>august</w:t>
      </w:r>
      <w:r w:rsidR="00E146D5" w:rsidRPr="00570BB9">
        <w:rPr>
          <w:rFonts w:cs="Trebuchet MS"/>
        </w:rPr>
        <w:t xml:space="preserve"> 2019</w:t>
      </w:r>
      <w:r w:rsidRPr="00570BB9">
        <w:rPr>
          <w:rFonts w:cs="Trebuchet MS"/>
        </w:rPr>
        <w:t xml:space="preserve"> se prezint</w:t>
      </w:r>
      <w:r w:rsidRPr="00570BB9">
        <w:rPr>
          <w:rFonts w:cs="Trebuchet MS"/>
          <w:lang w:val="ro-RO"/>
        </w:rPr>
        <w:t>ă sugestiv astfel:</w:t>
      </w:r>
    </w:p>
    <w:p w:rsidR="00A31D8D" w:rsidRPr="00570BB9" w:rsidRDefault="00A31D8D" w:rsidP="00A31D8D">
      <w:pPr>
        <w:autoSpaceDE w:val="0"/>
        <w:autoSpaceDN w:val="0"/>
        <w:adjustRightInd w:val="0"/>
        <w:ind w:left="720"/>
        <w:jc w:val="center"/>
        <w:rPr>
          <w:rFonts w:cs="Trebuchet MS"/>
        </w:rPr>
        <w:sectPr w:rsidR="00A31D8D" w:rsidRPr="00570BB9" w:rsidSect="007E313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144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98" w:type="dxa"/>
        <w:tblLayout w:type="fixed"/>
        <w:tblLook w:val="0000"/>
      </w:tblPr>
      <w:tblGrid>
        <w:gridCol w:w="1845"/>
        <w:gridCol w:w="2127"/>
      </w:tblGrid>
      <w:tr w:rsidR="00A31D8D" w:rsidRPr="00E07B0A" w:rsidTr="00B66B3C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lastRenderedPageBreak/>
              <w:t>Grupa de vârst</w:t>
            </w:r>
            <w:r w:rsidRPr="00E07B0A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Stoc la finele lunii</w:t>
            </w:r>
          </w:p>
        </w:tc>
      </w:tr>
      <w:tr w:rsidR="00A31D8D" w:rsidRPr="00E07B0A" w:rsidTr="00B66B3C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E146D5" w:rsidP="00B26B26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476018">
              <w:rPr>
                <w:rFonts w:cs="Calibri"/>
              </w:rPr>
              <w:t>.</w:t>
            </w:r>
            <w:r w:rsidR="00B26B26">
              <w:rPr>
                <w:rFonts w:cs="Calibri"/>
              </w:rPr>
              <w:t>380</w:t>
            </w:r>
          </w:p>
        </w:tc>
      </w:tr>
      <w:tr w:rsidR="00A31D8D" w:rsidRPr="00E07B0A" w:rsidTr="00B66B3C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&lt; 25 ani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356FBA" w:rsidP="00B26B26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B26B26">
              <w:rPr>
                <w:rFonts w:cs="Calibri"/>
              </w:rPr>
              <w:t>86</w:t>
            </w:r>
          </w:p>
        </w:tc>
      </w:tr>
      <w:tr w:rsidR="00A31D8D" w:rsidRPr="00E07B0A" w:rsidTr="00B66B3C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 între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356FBA" w:rsidP="00B26B26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B26B26">
              <w:rPr>
                <w:rFonts w:cs="Calibri"/>
              </w:rPr>
              <w:t>81</w:t>
            </w:r>
          </w:p>
        </w:tc>
      </w:tr>
      <w:tr w:rsidR="00A31D8D" w:rsidRPr="00E07B0A" w:rsidTr="00B66B3C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între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356FBA" w:rsidP="00B26B26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B26B26">
              <w:rPr>
                <w:rFonts w:cs="Calibri"/>
              </w:rPr>
              <w:t>8</w:t>
            </w:r>
            <w:r>
              <w:rPr>
                <w:rFonts w:cs="Calibri"/>
              </w:rPr>
              <w:t>6</w:t>
            </w:r>
          </w:p>
        </w:tc>
      </w:tr>
      <w:tr w:rsidR="00A31D8D" w:rsidRPr="00E07B0A" w:rsidTr="00B66B3C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între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476018" w:rsidP="00B26B26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  <w:r w:rsidR="00356FBA">
              <w:rPr>
                <w:rFonts w:cs="Calibri"/>
              </w:rPr>
              <w:t>7</w:t>
            </w:r>
            <w:r w:rsidR="00B26B26">
              <w:rPr>
                <w:rFonts w:cs="Calibri"/>
              </w:rPr>
              <w:t>6</w:t>
            </w:r>
          </w:p>
        </w:tc>
      </w:tr>
      <w:tr w:rsidR="00A31D8D" w:rsidRPr="00E07B0A" w:rsidTr="00B66B3C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între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476018" w:rsidP="00B26B26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356FBA">
              <w:rPr>
                <w:rFonts w:cs="Calibri"/>
              </w:rPr>
              <w:t>1</w:t>
            </w:r>
            <w:r w:rsidR="00B26B26">
              <w:rPr>
                <w:rFonts w:cs="Calibri"/>
              </w:rPr>
              <w:t>9</w:t>
            </w:r>
          </w:p>
        </w:tc>
      </w:tr>
      <w:tr w:rsidR="00A31D8D" w:rsidRPr="00E07B0A" w:rsidTr="00B66B3C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peste 55 ani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356FBA" w:rsidP="00B26B26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B26B26">
              <w:rPr>
                <w:rFonts w:cs="Calibri"/>
              </w:rPr>
              <w:t>3</w:t>
            </w:r>
            <w:r>
              <w:rPr>
                <w:rFonts w:cs="Calibri"/>
              </w:rPr>
              <w:t>2</w:t>
            </w:r>
          </w:p>
        </w:tc>
      </w:tr>
    </w:tbl>
    <w:p w:rsidR="00A31D8D" w:rsidRPr="00B66B3C" w:rsidRDefault="00A31D8D" w:rsidP="00A31D8D">
      <w:pPr>
        <w:autoSpaceDE w:val="0"/>
        <w:autoSpaceDN w:val="0"/>
        <w:adjustRightInd w:val="0"/>
        <w:ind w:left="720"/>
        <w:rPr>
          <w:rFonts w:cs="Trebuchet MS"/>
          <w:sz w:val="10"/>
          <w:szCs w:val="10"/>
          <w:lang w:val="ro-RO"/>
        </w:rPr>
      </w:pPr>
    </w:p>
    <w:p w:rsidR="00A31D8D" w:rsidRDefault="00A31D8D" w:rsidP="00A31D8D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r>
        <w:rPr>
          <w:rFonts w:cs="Trebuchet MS"/>
          <w:noProof/>
          <w:color w:val="000000"/>
        </w:rPr>
        <w:lastRenderedPageBreak/>
        <w:drawing>
          <wp:inline distT="0" distB="0" distL="0" distR="0">
            <wp:extent cx="2657475" cy="1781175"/>
            <wp:effectExtent l="0" t="0" r="0" b="0"/>
            <wp:docPr id="140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31D8D" w:rsidRDefault="00A31D8D" w:rsidP="00A31D8D">
      <w:pPr>
        <w:ind w:left="720"/>
        <w:sectPr w:rsidR="00A31D8D" w:rsidSect="00A31D8D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D54849" w:rsidRPr="00E146D5" w:rsidRDefault="00D54849" w:rsidP="006A6A4C">
      <w:pPr>
        <w:ind w:left="720"/>
        <w:rPr>
          <w:rFonts w:cs="Arial"/>
        </w:rPr>
      </w:pPr>
      <w:r w:rsidRPr="00E146D5">
        <w:rPr>
          <w:rFonts w:cs="Arial"/>
        </w:rPr>
        <w:lastRenderedPageBreak/>
        <w:t>Referitor la structura şomajului după nivelul de instruire, şomerii fără studii şi cei cu nivel de instruire primar au o pondere însemnată în totalul şomerilor înregistraţi în evidenţele A</w:t>
      </w:r>
      <w:r w:rsidR="00E146D5" w:rsidRPr="00E146D5">
        <w:rPr>
          <w:rFonts w:cs="Arial"/>
        </w:rPr>
        <w:t>J</w:t>
      </w:r>
      <w:r w:rsidRPr="00E146D5">
        <w:rPr>
          <w:rFonts w:cs="Arial"/>
        </w:rPr>
        <w:t xml:space="preserve">OFM </w:t>
      </w:r>
      <w:r w:rsidR="00E146D5" w:rsidRPr="00E146D5">
        <w:rPr>
          <w:rFonts w:cs="Arial"/>
        </w:rPr>
        <w:t xml:space="preserve">Caraş-Severin </w:t>
      </w:r>
      <w:r w:rsidRPr="00E146D5">
        <w:rPr>
          <w:rFonts w:cs="Arial"/>
        </w:rPr>
        <w:t>(</w:t>
      </w:r>
      <w:r w:rsidR="00020891">
        <w:rPr>
          <w:rFonts w:cs="Arial"/>
        </w:rPr>
        <w:t>2</w:t>
      </w:r>
      <w:r w:rsidR="006A5447">
        <w:rPr>
          <w:rFonts w:cs="Arial"/>
        </w:rPr>
        <w:t>7</w:t>
      </w:r>
      <w:r w:rsidR="00020891">
        <w:rPr>
          <w:rFonts w:cs="Arial"/>
        </w:rPr>
        <w:t>,</w:t>
      </w:r>
      <w:r w:rsidR="006A5447">
        <w:rPr>
          <w:rFonts w:cs="Arial"/>
        </w:rPr>
        <w:t>49</w:t>
      </w:r>
      <w:r w:rsidRPr="00E146D5">
        <w:rPr>
          <w:rFonts w:cs="Arial"/>
        </w:rPr>
        <w:t>%). Şomerii cu nivel de instruire liceal reprezintă 2</w:t>
      </w:r>
      <w:r w:rsidR="006A5447">
        <w:rPr>
          <w:rFonts w:cs="Arial"/>
        </w:rPr>
        <w:t>4</w:t>
      </w:r>
      <w:r w:rsidRPr="00E146D5">
        <w:rPr>
          <w:rFonts w:cs="Arial"/>
        </w:rPr>
        <w:t>,</w:t>
      </w:r>
      <w:r w:rsidR="006A5447">
        <w:rPr>
          <w:rFonts w:cs="Arial"/>
        </w:rPr>
        <w:t>59</w:t>
      </w:r>
      <w:r w:rsidRPr="00E146D5">
        <w:rPr>
          <w:rFonts w:cs="Arial"/>
        </w:rPr>
        <w:t>% din totalul şomerilor înregistraţi, iar</w:t>
      </w:r>
      <w:r w:rsidR="00DC35F1">
        <w:rPr>
          <w:rFonts w:cs="Arial"/>
        </w:rPr>
        <w:t xml:space="preserve"> </w:t>
      </w:r>
      <w:r w:rsidRPr="00E146D5">
        <w:rPr>
          <w:rFonts w:cs="Arial"/>
        </w:rPr>
        <w:t xml:space="preserve">cei cu studii universitare </w:t>
      </w:r>
      <w:r w:rsidR="006A5447">
        <w:rPr>
          <w:rFonts w:cs="Arial"/>
        </w:rPr>
        <w:t>13</w:t>
      </w:r>
      <w:r w:rsidRPr="00E146D5">
        <w:rPr>
          <w:rFonts w:cs="Arial"/>
        </w:rPr>
        <w:t>,</w:t>
      </w:r>
      <w:r w:rsidR="006A5447">
        <w:rPr>
          <w:rFonts w:cs="Arial"/>
        </w:rPr>
        <w:t>08</w:t>
      </w:r>
      <w:r w:rsidRPr="00E146D5">
        <w:rPr>
          <w:rFonts w:cs="Arial"/>
        </w:rPr>
        <w:t>%.</w:t>
      </w:r>
      <w:bookmarkStart w:id="0" w:name="_GoBack"/>
      <w:bookmarkEnd w:id="0"/>
    </w:p>
    <w:p w:rsidR="006A6A4C" w:rsidRPr="00D54849" w:rsidRDefault="006A6A4C" w:rsidP="006A6A4C">
      <w:pPr>
        <w:ind w:left="720"/>
        <w:rPr>
          <w:lang w:val="ro-RO"/>
        </w:rPr>
      </w:pPr>
      <w:r w:rsidRPr="00D54849">
        <w:rPr>
          <w:rFonts w:cs="Arial"/>
        </w:rPr>
        <w:t xml:space="preserve">Mai multe informaţii privind situaţia statistică a şomajului la sfârșitul lunii </w:t>
      </w:r>
      <w:r w:rsidR="006A5447">
        <w:rPr>
          <w:rFonts w:cs="Arial"/>
        </w:rPr>
        <w:t>august</w:t>
      </w:r>
      <w:r w:rsidR="00E146D5">
        <w:rPr>
          <w:rFonts w:cs="Arial"/>
        </w:rPr>
        <w:t xml:space="preserve"> </w:t>
      </w:r>
      <w:r w:rsidRPr="00D54849">
        <w:rPr>
          <w:rFonts w:cs="Arial"/>
        </w:rPr>
        <w:t>2019 pot fi vizualizate accesând www.anofm.ro, la secțiunea alocat</w:t>
      </w:r>
      <w:r w:rsidRPr="00D54849">
        <w:rPr>
          <w:rFonts w:cs="Arial"/>
          <w:lang w:val="ro-RO"/>
        </w:rPr>
        <w:t>ă AJOFM Caraş-Severin</w:t>
      </w:r>
      <w:r w:rsidR="00D54849" w:rsidRPr="00D54849">
        <w:rPr>
          <w:rFonts w:cs="Arial"/>
          <w:lang w:val="ro-RO"/>
        </w:rPr>
        <w:t xml:space="preserve"> - </w:t>
      </w:r>
      <w:r w:rsidR="00D54849" w:rsidRPr="00D54849">
        <w:rPr>
          <w:rFonts w:cs="Arial"/>
        </w:rPr>
        <w:t>Programe, strategii, statistici</w:t>
      </w:r>
      <w:r w:rsidRPr="00D54849">
        <w:rPr>
          <w:rFonts w:cs="Arial"/>
        </w:rPr>
        <w:t>.</w:t>
      </w:r>
    </w:p>
    <w:p w:rsidR="0041313A" w:rsidRPr="002F10FC" w:rsidRDefault="00FE6A51" w:rsidP="00A31D8D">
      <w:pPr>
        <w:ind w:left="720"/>
        <w:rPr>
          <w:rFonts w:eastAsia="Times New Roman" w:cs="Arial"/>
          <w:sz w:val="24"/>
          <w:szCs w:val="24"/>
        </w:rPr>
      </w:pPr>
      <w:r w:rsidRPr="00D54849">
        <w:t>Agenția Județeană pentru Ocuparea Forței de Muncă Caraş-Severin</w:t>
      </w:r>
    </w:p>
    <w:sectPr w:rsidR="0041313A" w:rsidRPr="002F10FC" w:rsidSect="00A31D8D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51A" w:rsidRDefault="00C7551A" w:rsidP="00CD5B3B">
      <w:r>
        <w:separator/>
      </w:r>
    </w:p>
  </w:endnote>
  <w:endnote w:type="continuationSeparator" w:id="1">
    <w:p w:rsidR="00C7551A" w:rsidRDefault="00C7551A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90" w:rsidRDefault="003053C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 w:rsidRPr="003053C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3053C6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3053C6" w:rsidRPr="002A367B">
      <w:rPr>
        <w:sz w:val="14"/>
        <w:szCs w:val="14"/>
        <w:lang w:val="ro-RO"/>
      </w:rPr>
      <w:fldChar w:fldCharType="separate"/>
    </w:r>
    <w:r w:rsidR="00B26B26">
      <w:rPr>
        <w:noProof/>
        <w:sz w:val="14"/>
        <w:szCs w:val="14"/>
        <w:lang w:val="ro-RO"/>
      </w:rPr>
      <w:t>2</w:t>
    </w:r>
    <w:r w:rsidR="003053C6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C00157" w:rsidRPr="00C00157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2A" w:rsidRPr="00702E2A" w:rsidRDefault="003053C6" w:rsidP="00702E2A">
    <w:pPr>
      <w:pStyle w:val="Footer"/>
      <w:spacing w:after="0" w:line="240" w:lineRule="auto"/>
      <w:ind w:left="1699"/>
      <w:rPr>
        <w:sz w:val="14"/>
        <w:szCs w:val="14"/>
      </w:rPr>
    </w:pPr>
    <w:r w:rsidRPr="003053C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3053C6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3053C6" w:rsidRPr="002A367B">
      <w:rPr>
        <w:sz w:val="14"/>
        <w:szCs w:val="14"/>
        <w:lang w:val="ro-RO"/>
      </w:rPr>
      <w:fldChar w:fldCharType="separate"/>
    </w:r>
    <w:r w:rsidR="006A5447">
      <w:rPr>
        <w:noProof/>
        <w:sz w:val="14"/>
        <w:szCs w:val="14"/>
        <w:lang w:val="ro-RO"/>
      </w:rPr>
      <w:t>1</w:t>
    </w:r>
    <w:r w:rsidR="003053C6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C00157" w:rsidRPr="00C00157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51A" w:rsidRDefault="00C7551A" w:rsidP="00CD5B3B">
      <w:r>
        <w:separator/>
      </w:r>
    </w:p>
  </w:footnote>
  <w:footnote w:type="continuationSeparator" w:id="1">
    <w:p w:rsidR="00C7551A" w:rsidRDefault="00C7551A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702E2A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</w:rPr>
            <w:drawing>
              <wp:inline distT="0" distB="0" distL="0" distR="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2"/>
      <o:rules v:ext="edit">
        <o:r id="V:Rule3" type="connector" idref="#_x0000_s2050"/>
        <o:r id="V:Rule4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5F49"/>
    <w:rsid w:val="000373AF"/>
    <w:rsid w:val="00042E51"/>
    <w:rsid w:val="00051FFF"/>
    <w:rsid w:val="000614B3"/>
    <w:rsid w:val="00061CAD"/>
    <w:rsid w:val="0007334F"/>
    <w:rsid w:val="00074646"/>
    <w:rsid w:val="0007474B"/>
    <w:rsid w:val="00081663"/>
    <w:rsid w:val="000832EB"/>
    <w:rsid w:val="00084F57"/>
    <w:rsid w:val="0009729E"/>
    <w:rsid w:val="000A5D78"/>
    <w:rsid w:val="000B469B"/>
    <w:rsid w:val="000B6907"/>
    <w:rsid w:val="000C2E98"/>
    <w:rsid w:val="000D69AE"/>
    <w:rsid w:val="000D6BAD"/>
    <w:rsid w:val="000E6233"/>
    <w:rsid w:val="000F688A"/>
    <w:rsid w:val="000F6F12"/>
    <w:rsid w:val="00100F36"/>
    <w:rsid w:val="00111787"/>
    <w:rsid w:val="00117926"/>
    <w:rsid w:val="00117D97"/>
    <w:rsid w:val="00125B1D"/>
    <w:rsid w:val="001478A6"/>
    <w:rsid w:val="00151B4D"/>
    <w:rsid w:val="00165CCE"/>
    <w:rsid w:val="00167BD6"/>
    <w:rsid w:val="00171AC3"/>
    <w:rsid w:val="00171F86"/>
    <w:rsid w:val="00176CA7"/>
    <w:rsid w:val="001A1F5F"/>
    <w:rsid w:val="001A4FF7"/>
    <w:rsid w:val="001C4D54"/>
    <w:rsid w:val="001D07E4"/>
    <w:rsid w:val="001D313F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372E0"/>
    <w:rsid w:val="00242556"/>
    <w:rsid w:val="002612E6"/>
    <w:rsid w:val="00263BCF"/>
    <w:rsid w:val="002673A1"/>
    <w:rsid w:val="002743A1"/>
    <w:rsid w:val="002844C2"/>
    <w:rsid w:val="002964B7"/>
    <w:rsid w:val="002973E0"/>
    <w:rsid w:val="002A4E89"/>
    <w:rsid w:val="002A5742"/>
    <w:rsid w:val="002C5608"/>
    <w:rsid w:val="002C59E9"/>
    <w:rsid w:val="002D296E"/>
    <w:rsid w:val="002E22A9"/>
    <w:rsid w:val="002E4F03"/>
    <w:rsid w:val="002F10FC"/>
    <w:rsid w:val="002F2C39"/>
    <w:rsid w:val="00305247"/>
    <w:rsid w:val="003053C6"/>
    <w:rsid w:val="003070E3"/>
    <w:rsid w:val="003134B0"/>
    <w:rsid w:val="00323AB2"/>
    <w:rsid w:val="003277BC"/>
    <w:rsid w:val="00340697"/>
    <w:rsid w:val="0034286D"/>
    <w:rsid w:val="00346037"/>
    <w:rsid w:val="00356FBA"/>
    <w:rsid w:val="00364B14"/>
    <w:rsid w:val="00381CB6"/>
    <w:rsid w:val="00390AEC"/>
    <w:rsid w:val="00395093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7180"/>
    <w:rsid w:val="00427C17"/>
    <w:rsid w:val="004310DD"/>
    <w:rsid w:val="00441E15"/>
    <w:rsid w:val="00442796"/>
    <w:rsid w:val="00443AE8"/>
    <w:rsid w:val="00445CBA"/>
    <w:rsid w:val="004470E1"/>
    <w:rsid w:val="004510F7"/>
    <w:rsid w:val="00451AD0"/>
    <w:rsid w:val="004714D6"/>
    <w:rsid w:val="00476018"/>
    <w:rsid w:val="00480E04"/>
    <w:rsid w:val="00493AD5"/>
    <w:rsid w:val="004A1133"/>
    <w:rsid w:val="004A51F6"/>
    <w:rsid w:val="004A6223"/>
    <w:rsid w:val="004B4D88"/>
    <w:rsid w:val="004D32C1"/>
    <w:rsid w:val="004D5F89"/>
    <w:rsid w:val="004E19FD"/>
    <w:rsid w:val="004E3CBB"/>
    <w:rsid w:val="004F0BE0"/>
    <w:rsid w:val="004F10B8"/>
    <w:rsid w:val="005031BB"/>
    <w:rsid w:val="00504A07"/>
    <w:rsid w:val="0050611E"/>
    <w:rsid w:val="00511D6E"/>
    <w:rsid w:val="0051391D"/>
    <w:rsid w:val="005260B3"/>
    <w:rsid w:val="00530F18"/>
    <w:rsid w:val="00541B94"/>
    <w:rsid w:val="00544099"/>
    <w:rsid w:val="00555A07"/>
    <w:rsid w:val="00570BB9"/>
    <w:rsid w:val="005727E1"/>
    <w:rsid w:val="0057501B"/>
    <w:rsid w:val="005825DA"/>
    <w:rsid w:val="00582E5D"/>
    <w:rsid w:val="00596089"/>
    <w:rsid w:val="005A0010"/>
    <w:rsid w:val="005A05FA"/>
    <w:rsid w:val="005A36DF"/>
    <w:rsid w:val="005A61F8"/>
    <w:rsid w:val="005B0684"/>
    <w:rsid w:val="005B2ABF"/>
    <w:rsid w:val="005B68C1"/>
    <w:rsid w:val="005C0668"/>
    <w:rsid w:val="005D5DFD"/>
    <w:rsid w:val="005E42CF"/>
    <w:rsid w:val="005E6842"/>
    <w:rsid w:val="005E6FFA"/>
    <w:rsid w:val="005F072E"/>
    <w:rsid w:val="00620097"/>
    <w:rsid w:val="006322FD"/>
    <w:rsid w:val="00637D9B"/>
    <w:rsid w:val="006579C6"/>
    <w:rsid w:val="006631F1"/>
    <w:rsid w:val="00666EE5"/>
    <w:rsid w:val="00671E90"/>
    <w:rsid w:val="00672D83"/>
    <w:rsid w:val="00681A8A"/>
    <w:rsid w:val="00684F1B"/>
    <w:rsid w:val="006A263E"/>
    <w:rsid w:val="006A5447"/>
    <w:rsid w:val="006A6A4C"/>
    <w:rsid w:val="006B417E"/>
    <w:rsid w:val="006B528B"/>
    <w:rsid w:val="006C31A1"/>
    <w:rsid w:val="006C3555"/>
    <w:rsid w:val="006C7DE6"/>
    <w:rsid w:val="006D01D3"/>
    <w:rsid w:val="006D0827"/>
    <w:rsid w:val="006E1F27"/>
    <w:rsid w:val="007005AB"/>
    <w:rsid w:val="00700BF3"/>
    <w:rsid w:val="00702E2A"/>
    <w:rsid w:val="00722488"/>
    <w:rsid w:val="00722BEC"/>
    <w:rsid w:val="00723D83"/>
    <w:rsid w:val="007322B0"/>
    <w:rsid w:val="0073648D"/>
    <w:rsid w:val="00736D91"/>
    <w:rsid w:val="00761A81"/>
    <w:rsid w:val="00766E0E"/>
    <w:rsid w:val="00767F1D"/>
    <w:rsid w:val="0077225E"/>
    <w:rsid w:val="00782076"/>
    <w:rsid w:val="007840B3"/>
    <w:rsid w:val="00787C9A"/>
    <w:rsid w:val="007914E2"/>
    <w:rsid w:val="00796A97"/>
    <w:rsid w:val="007A720A"/>
    <w:rsid w:val="007A73D2"/>
    <w:rsid w:val="007A78AD"/>
    <w:rsid w:val="007B005F"/>
    <w:rsid w:val="007B31C4"/>
    <w:rsid w:val="007C1EDA"/>
    <w:rsid w:val="007C40EA"/>
    <w:rsid w:val="007C521C"/>
    <w:rsid w:val="007C6AC3"/>
    <w:rsid w:val="007C72C4"/>
    <w:rsid w:val="007D7ABE"/>
    <w:rsid w:val="007E313D"/>
    <w:rsid w:val="007E4E59"/>
    <w:rsid w:val="007F4455"/>
    <w:rsid w:val="00806539"/>
    <w:rsid w:val="00822A44"/>
    <w:rsid w:val="008453B6"/>
    <w:rsid w:val="00846443"/>
    <w:rsid w:val="0085105D"/>
    <w:rsid w:val="00872110"/>
    <w:rsid w:val="00881A51"/>
    <w:rsid w:val="00884F11"/>
    <w:rsid w:val="00887484"/>
    <w:rsid w:val="008940E8"/>
    <w:rsid w:val="00896CE2"/>
    <w:rsid w:val="008A0FDC"/>
    <w:rsid w:val="008A2AC0"/>
    <w:rsid w:val="008C169E"/>
    <w:rsid w:val="008C4503"/>
    <w:rsid w:val="008D29D6"/>
    <w:rsid w:val="008D6B84"/>
    <w:rsid w:val="008E3375"/>
    <w:rsid w:val="008E3DCB"/>
    <w:rsid w:val="008E5BAE"/>
    <w:rsid w:val="008F4048"/>
    <w:rsid w:val="008F4603"/>
    <w:rsid w:val="009000C4"/>
    <w:rsid w:val="00904EDE"/>
    <w:rsid w:val="00915096"/>
    <w:rsid w:val="00921EB3"/>
    <w:rsid w:val="00930295"/>
    <w:rsid w:val="009312CC"/>
    <w:rsid w:val="00936FDE"/>
    <w:rsid w:val="0094148E"/>
    <w:rsid w:val="00944611"/>
    <w:rsid w:val="00973E5A"/>
    <w:rsid w:val="009919FD"/>
    <w:rsid w:val="009A1474"/>
    <w:rsid w:val="009A383C"/>
    <w:rsid w:val="009A4875"/>
    <w:rsid w:val="009D76BA"/>
    <w:rsid w:val="009F5097"/>
    <w:rsid w:val="009F610D"/>
    <w:rsid w:val="009F7E6C"/>
    <w:rsid w:val="00A11F71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61FD"/>
    <w:rsid w:val="00A568EB"/>
    <w:rsid w:val="00A75384"/>
    <w:rsid w:val="00A80125"/>
    <w:rsid w:val="00A855FF"/>
    <w:rsid w:val="00AA3D56"/>
    <w:rsid w:val="00AA478F"/>
    <w:rsid w:val="00AB44A1"/>
    <w:rsid w:val="00AC5F09"/>
    <w:rsid w:val="00AD4041"/>
    <w:rsid w:val="00AD46D8"/>
    <w:rsid w:val="00AD5C16"/>
    <w:rsid w:val="00AD6ACF"/>
    <w:rsid w:val="00AE2177"/>
    <w:rsid w:val="00AE26B4"/>
    <w:rsid w:val="00AE4E16"/>
    <w:rsid w:val="00AF7401"/>
    <w:rsid w:val="00B124EE"/>
    <w:rsid w:val="00B1258E"/>
    <w:rsid w:val="00B13BB4"/>
    <w:rsid w:val="00B26B26"/>
    <w:rsid w:val="00B4093B"/>
    <w:rsid w:val="00B44471"/>
    <w:rsid w:val="00B51F81"/>
    <w:rsid w:val="00B52163"/>
    <w:rsid w:val="00B521F2"/>
    <w:rsid w:val="00B55095"/>
    <w:rsid w:val="00B6080C"/>
    <w:rsid w:val="00B66B3C"/>
    <w:rsid w:val="00B751B9"/>
    <w:rsid w:val="00B8302B"/>
    <w:rsid w:val="00B84E92"/>
    <w:rsid w:val="00BA184B"/>
    <w:rsid w:val="00BB2B74"/>
    <w:rsid w:val="00BC2025"/>
    <w:rsid w:val="00BD08C1"/>
    <w:rsid w:val="00BD70CF"/>
    <w:rsid w:val="00BE283F"/>
    <w:rsid w:val="00BE7398"/>
    <w:rsid w:val="00BE73B1"/>
    <w:rsid w:val="00BE7B02"/>
    <w:rsid w:val="00C00157"/>
    <w:rsid w:val="00C02DE8"/>
    <w:rsid w:val="00C05F49"/>
    <w:rsid w:val="00C13BE4"/>
    <w:rsid w:val="00C15FBF"/>
    <w:rsid w:val="00C16C64"/>
    <w:rsid w:val="00C2022B"/>
    <w:rsid w:val="00C20EF1"/>
    <w:rsid w:val="00C225FD"/>
    <w:rsid w:val="00C27D36"/>
    <w:rsid w:val="00C30684"/>
    <w:rsid w:val="00C43C12"/>
    <w:rsid w:val="00C539DE"/>
    <w:rsid w:val="00C56257"/>
    <w:rsid w:val="00C56BA2"/>
    <w:rsid w:val="00C57DFB"/>
    <w:rsid w:val="00C6554C"/>
    <w:rsid w:val="00C7255C"/>
    <w:rsid w:val="00C73386"/>
    <w:rsid w:val="00C73BA1"/>
    <w:rsid w:val="00C7551A"/>
    <w:rsid w:val="00C92DE1"/>
    <w:rsid w:val="00C94CC6"/>
    <w:rsid w:val="00CA2E12"/>
    <w:rsid w:val="00CB1929"/>
    <w:rsid w:val="00CB567C"/>
    <w:rsid w:val="00CD0C6C"/>
    <w:rsid w:val="00CD0F06"/>
    <w:rsid w:val="00CD256B"/>
    <w:rsid w:val="00CD4F94"/>
    <w:rsid w:val="00CD5B3B"/>
    <w:rsid w:val="00CE5831"/>
    <w:rsid w:val="00CF4384"/>
    <w:rsid w:val="00D05E66"/>
    <w:rsid w:val="00D06E9C"/>
    <w:rsid w:val="00D11BF1"/>
    <w:rsid w:val="00D1328B"/>
    <w:rsid w:val="00D14084"/>
    <w:rsid w:val="00D20C32"/>
    <w:rsid w:val="00D22B19"/>
    <w:rsid w:val="00D44463"/>
    <w:rsid w:val="00D53762"/>
    <w:rsid w:val="00D54849"/>
    <w:rsid w:val="00D62431"/>
    <w:rsid w:val="00D80913"/>
    <w:rsid w:val="00D86F1D"/>
    <w:rsid w:val="00D92051"/>
    <w:rsid w:val="00D96A31"/>
    <w:rsid w:val="00DA2381"/>
    <w:rsid w:val="00DC05D3"/>
    <w:rsid w:val="00DC08D4"/>
    <w:rsid w:val="00DC35F1"/>
    <w:rsid w:val="00DD252B"/>
    <w:rsid w:val="00DF42F3"/>
    <w:rsid w:val="00E07B0A"/>
    <w:rsid w:val="00E11F3F"/>
    <w:rsid w:val="00E146D5"/>
    <w:rsid w:val="00E23523"/>
    <w:rsid w:val="00E35484"/>
    <w:rsid w:val="00E4048B"/>
    <w:rsid w:val="00E411FB"/>
    <w:rsid w:val="00E42F45"/>
    <w:rsid w:val="00E53964"/>
    <w:rsid w:val="00E562FC"/>
    <w:rsid w:val="00E639D5"/>
    <w:rsid w:val="00E63F46"/>
    <w:rsid w:val="00E66338"/>
    <w:rsid w:val="00E67B70"/>
    <w:rsid w:val="00E75DB3"/>
    <w:rsid w:val="00E81AFD"/>
    <w:rsid w:val="00E8563C"/>
    <w:rsid w:val="00E91A2D"/>
    <w:rsid w:val="00EA0F6C"/>
    <w:rsid w:val="00EA1858"/>
    <w:rsid w:val="00EA21E9"/>
    <w:rsid w:val="00EA282B"/>
    <w:rsid w:val="00EA52D3"/>
    <w:rsid w:val="00EA61D6"/>
    <w:rsid w:val="00EB07F0"/>
    <w:rsid w:val="00EB5224"/>
    <w:rsid w:val="00EB5EC6"/>
    <w:rsid w:val="00EC67A8"/>
    <w:rsid w:val="00EE1146"/>
    <w:rsid w:val="00EE2694"/>
    <w:rsid w:val="00F17D76"/>
    <w:rsid w:val="00F20FDD"/>
    <w:rsid w:val="00F23F04"/>
    <w:rsid w:val="00F30C27"/>
    <w:rsid w:val="00F41CEE"/>
    <w:rsid w:val="00F44190"/>
    <w:rsid w:val="00F50289"/>
    <w:rsid w:val="00F571E5"/>
    <w:rsid w:val="00F64A57"/>
    <w:rsid w:val="00F659E6"/>
    <w:rsid w:val="00F67D20"/>
    <w:rsid w:val="00F77807"/>
    <w:rsid w:val="00F92DC9"/>
    <w:rsid w:val="00FB5B18"/>
    <w:rsid w:val="00FB6D27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t>&lt;25 ani
14,38%</a:t>
                    </a:r>
                  </a:p>
                </c:rich>
              </c:tx>
              <c:showCatName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t>25-29 ani
5,36%</a:t>
                    </a:r>
                  </a:p>
                </c:rich>
              </c:tx>
              <c:showCatName val="1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t>30-39 ani
14,38%</a:t>
                    </a:r>
                  </a:p>
                </c:rich>
              </c:tx>
              <c:showCatName val="1"/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t>40-49 ani
25,92%</a:t>
                    </a:r>
                  </a:p>
                </c:rich>
              </c:tx>
              <c:showCatName val="1"/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t>50-55 ani
18,31%</a:t>
                    </a:r>
                  </a:p>
                </c:rich>
              </c:tx>
              <c:showCatName val="1"/>
              <c:showPercent val="1"/>
            </c:dLbl>
            <c:dLbl>
              <c:idx val="5"/>
              <c:tx>
                <c:rich>
                  <a:bodyPr/>
                  <a:lstStyle/>
                  <a:p>
                    <a:r>
                      <a:t>peste 55 ani
21,65%</a:t>
                    </a:r>
                  </a:p>
                </c:rich>
              </c:tx>
              <c:showCatName val="1"/>
              <c:showPercent val="1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0.14380000000000001</c:v>
                </c:pt>
                <c:pt idx="1">
                  <c:v>5.3600000000000002E-2</c:v>
                </c:pt>
                <c:pt idx="2">
                  <c:v>0.14380000000000001</c:v>
                </c:pt>
                <c:pt idx="3">
                  <c:v>0.25920000000000004</c:v>
                </c:pt>
                <c:pt idx="4">
                  <c:v>0.18310000000000001</c:v>
                </c:pt>
                <c:pt idx="5">
                  <c:v>0.21650000000000003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0681E-2938-4CF3-A9AE-946925D6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2157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carla</cp:lastModifiedBy>
  <cp:revision>55</cp:revision>
  <cp:lastPrinted>2019-10-02T12:30:00Z</cp:lastPrinted>
  <dcterms:created xsi:type="dcterms:W3CDTF">2019-01-03T12:47:00Z</dcterms:created>
  <dcterms:modified xsi:type="dcterms:W3CDTF">2019-10-02T13:17:00Z</dcterms:modified>
</cp:coreProperties>
</file>