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DB79" w14:textId="1BA8DD76" w:rsidR="000F3DAC" w:rsidRDefault="00AC2676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BE251E7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18095" cy="1228725"/>
            <wp:effectExtent l="0" t="0" r="1905" b="0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04"/>
                    <a:stretch/>
                  </pic:blipFill>
                  <pic:spPr bwMode="auto">
                    <a:xfrm>
                      <a:off x="0" y="0"/>
                      <a:ext cx="7623810" cy="12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502971E6">
            <wp:simplePos x="0" y="0"/>
            <wp:positionH relativeFrom="column">
              <wp:posOffset>-880745</wp:posOffset>
            </wp:positionH>
            <wp:positionV relativeFrom="paragraph">
              <wp:posOffset>-718820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06226558" w:rsidR="00DE4D2E" w:rsidRPr="00AC2676" w:rsidRDefault="00620682" w:rsidP="00FA66CC">
      <w:pPr>
        <w:spacing w:line="0" w:lineRule="atLeast"/>
        <w:jc w:val="both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7751B" w14:textId="77777777" w:rsidR="00DE4D2E" w:rsidRPr="000B6724" w:rsidRDefault="00DE4D2E" w:rsidP="000B6724">
      <w:pPr>
        <w:spacing w:line="0" w:lineRule="atLeast"/>
        <w:jc w:val="both"/>
        <w:rPr>
          <w:rFonts w:ascii="Trebuchet MS" w:eastAsia="Trebuchet MS" w:hAnsi="Trebuchet MS"/>
          <w:color w:val="141F25"/>
          <w:sz w:val="18"/>
          <w:szCs w:val="18"/>
        </w:rPr>
      </w:pPr>
    </w:p>
    <w:p w14:paraId="5DA50CCE" w14:textId="77777777" w:rsidR="00FA66CC" w:rsidRPr="000B6724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FONDUL SOCIAL EUROPEAN</w:t>
      </w:r>
    </w:p>
    <w:p w14:paraId="1FE91D4B" w14:textId="77777777" w:rsidR="00FA66CC" w:rsidRPr="000B6724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Programul Operațional Capital Uman 2014 – 2020 </w:t>
      </w:r>
    </w:p>
    <w:p w14:paraId="3412F87B" w14:textId="32711FC6" w:rsidR="00634285" w:rsidRPr="000B6724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Axa prioritară 3 – Locuri de muncă pentru toți</w:t>
      </w:r>
      <w:r w:rsidR="000B6724">
        <w:rPr>
          <w:rFonts w:ascii="Trebuchet MS" w:eastAsia="Trebuchet MS" w:hAnsi="Trebuchet MS"/>
          <w:i/>
          <w:color w:val="141F25"/>
          <w:sz w:val="18"/>
          <w:szCs w:val="18"/>
        </w:rPr>
        <w:t>;</w:t>
      </w:r>
      <w:r w:rsidR="00D01718">
        <w:rPr>
          <w:rFonts w:ascii="Trebuchet MS" w:eastAsia="Trebuchet MS" w:hAnsi="Trebuchet MS"/>
          <w:i/>
          <w:color w:val="141F25"/>
          <w:sz w:val="18"/>
          <w:szCs w:val="18"/>
        </w:rPr>
        <w:t xml:space="preserve"> </w:t>
      </w: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Obiective speficifice: 3.1. Creşterea ocupării şomerilor şi a persoanelor inactive, cu accent pe şomerii de lungă durată, lucrătorii vârstnici (55-64 ani), persoanelor cu dizabilităţi, persoan</w:t>
      </w:r>
      <w:r w:rsidR="000B6724"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elor cu nivel redus de educaţie; </w:t>
      </w: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3.2. Creşterea ocupării cetăţenilor rom</w:t>
      </w:r>
      <w:r w:rsidR="000B6724"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âni aparţinând minorităţii roma; </w:t>
      </w: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>3.3. Creşterea ocupării persoanelor din mediul rural, în special cele din agricultura de subzistenţă şi semi-subzistenţă.</w:t>
      </w:r>
    </w:p>
    <w:p w14:paraId="4088BF38" w14:textId="234F2459" w:rsidR="00FA66CC" w:rsidRPr="00D01718" w:rsidRDefault="00F34332" w:rsidP="000B6724">
      <w:pPr>
        <w:spacing w:line="0" w:lineRule="atLeast"/>
        <w:jc w:val="both"/>
        <w:rPr>
          <w:rFonts w:ascii="Trebuchet MS" w:eastAsia="Trebuchet MS" w:hAnsi="Trebuchet MS"/>
          <w:b/>
          <w:i/>
          <w:color w:val="141F25"/>
          <w:sz w:val="18"/>
          <w:szCs w:val="18"/>
        </w:rPr>
      </w:pPr>
      <w:r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>„PROACCES</w:t>
      </w:r>
      <w:r w:rsidR="000B6724"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 xml:space="preserve"> 2</w:t>
      </w:r>
      <w:r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>– Stimularea mobilității și subvenționarea locurilor de muncă pentru șomeri și inactivi"</w:t>
      </w:r>
      <w:r w:rsidR="00D01718"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 xml:space="preserve"> </w:t>
      </w:r>
      <w:r w:rsidR="000B6724" w:rsidRPr="00D01718">
        <w:rPr>
          <w:rFonts w:ascii="Trebuchet MS" w:eastAsia="Trebuchet MS" w:hAnsi="Trebuchet MS"/>
          <w:b/>
          <w:i/>
          <w:color w:val="141F25"/>
          <w:sz w:val="18"/>
          <w:szCs w:val="18"/>
        </w:rPr>
        <w:t>POCU/610/3/13/130167</w:t>
      </w:r>
    </w:p>
    <w:p w14:paraId="6EB55E54" w14:textId="3E99DCE1" w:rsidR="00634285" w:rsidRDefault="00FA66CC" w:rsidP="00FA66CC">
      <w:pPr>
        <w:spacing w:line="0" w:lineRule="atLeast"/>
        <w:rPr>
          <w:rFonts w:ascii="Trebuchet MS" w:eastAsia="Trebuchet MS" w:hAnsi="Trebuchet MS"/>
          <w:b/>
          <w:color w:val="FFFFFF"/>
        </w:rPr>
      </w:pPr>
      <w:r w:rsidRPr="00D01718">
        <w:rPr>
          <w:rFonts w:ascii="Trebuchet MS" w:eastAsia="Trebuchet MS" w:hAnsi="Trebuchet MS"/>
          <w:b/>
          <w:color w:val="FFFFFF"/>
        </w:rPr>
        <w:t>I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53"/>
      </w:tblGrid>
      <w:tr w:rsidR="0089244B" w:rsidRPr="00737326" w14:paraId="363E93FB" w14:textId="77777777" w:rsidTr="0089244B">
        <w:tc>
          <w:tcPr>
            <w:tcW w:w="9853" w:type="dxa"/>
            <w:shd w:val="clear" w:color="auto" w:fill="595959" w:themeFill="text1" w:themeFillTint="A6"/>
          </w:tcPr>
          <w:p w14:paraId="50690F70" w14:textId="77777777" w:rsidR="0089244B" w:rsidRPr="00737326" w:rsidRDefault="0089244B" w:rsidP="0089244B">
            <w:pPr>
              <w:jc w:val="center"/>
              <w:rPr>
                <w:rFonts w:ascii="Trebuchet MS" w:eastAsia="Trebuchet MS" w:hAnsi="Trebuchet MS"/>
                <w:sz w:val="24"/>
                <w:szCs w:val="24"/>
              </w:rPr>
            </w:pPr>
          </w:p>
          <w:p w14:paraId="6D4DD08F" w14:textId="77777777" w:rsidR="0089244B" w:rsidRPr="00737326" w:rsidRDefault="0089244B" w:rsidP="0089244B">
            <w:pPr>
              <w:jc w:val="center"/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INFORMARE GDPR</w:t>
            </w:r>
          </w:p>
          <w:p w14:paraId="5D46F562" w14:textId="07D72814" w:rsidR="0089244B" w:rsidRPr="00737326" w:rsidRDefault="001F4DAE" w:rsidP="0089244B">
            <w:pPr>
              <w:jc w:val="center"/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p</w:t>
            </w:r>
            <w:r w:rsidR="0089244B"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rivind derularea proiectului</w:t>
            </w:r>
          </w:p>
          <w:p w14:paraId="06409EFA" w14:textId="77777777" w:rsidR="0089244B" w:rsidRPr="00737326" w:rsidRDefault="0089244B" w:rsidP="0089244B">
            <w:pPr>
              <w:jc w:val="center"/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 xml:space="preserve">PROACCES 2– Stimularea mobilității și subvenționarea </w:t>
            </w:r>
          </w:p>
          <w:p w14:paraId="6B6302A3" w14:textId="60BC51B1" w:rsidR="0089244B" w:rsidRPr="00737326" w:rsidRDefault="0089244B" w:rsidP="00CE7C48">
            <w:pPr>
              <w:jc w:val="center"/>
              <w:rPr>
                <w:rFonts w:ascii="Trebuchet MS" w:eastAsia="Trebuchet MS" w:hAnsi="Trebuchet MS"/>
                <w:sz w:val="24"/>
                <w:szCs w:val="24"/>
              </w:rPr>
            </w:pPr>
            <w:r w:rsidRPr="00737326">
              <w:rPr>
                <w:rFonts w:ascii="Trebuchet MS" w:eastAsia="Trebuchet MS" w:hAnsi="Trebuchet MS"/>
                <w:color w:val="FFFFFF" w:themeColor="background1"/>
                <w:sz w:val="24"/>
                <w:szCs w:val="24"/>
              </w:rPr>
              <w:t>locurilor de muncă pentru șomeri și inactivi</w:t>
            </w:r>
          </w:p>
          <w:p w14:paraId="10F8DCE2" w14:textId="77777777" w:rsidR="0089244B" w:rsidRPr="00737326" w:rsidRDefault="0089244B" w:rsidP="005F148D">
            <w:pPr>
              <w:rPr>
                <w:rFonts w:ascii="Trebuchet MS" w:eastAsia="Trebuchet MS" w:hAnsi="Trebuchet MS"/>
                <w:sz w:val="24"/>
                <w:szCs w:val="24"/>
              </w:rPr>
            </w:pPr>
          </w:p>
        </w:tc>
      </w:tr>
    </w:tbl>
    <w:p w14:paraId="1A1FCCD9" w14:textId="77777777" w:rsidR="005F148D" w:rsidRPr="00737326" w:rsidRDefault="005F148D" w:rsidP="005F148D">
      <w:pPr>
        <w:rPr>
          <w:rFonts w:ascii="Trebuchet MS" w:eastAsia="Trebuchet MS" w:hAnsi="Trebuchet MS"/>
          <w:sz w:val="24"/>
          <w:szCs w:val="24"/>
        </w:rPr>
      </w:pPr>
    </w:p>
    <w:p w14:paraId="48CDA4AA" w14:textId="60431718" w:rsidR="003131BC" w:rsidRPr="003051C8" w:rsidRDefault="003131BC" w:rsidP="003051C8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>
        <w:rPr>
          <w:rFonts w:ascii="Trebuchet MS" w:eastAsia="Trebuchet MS" w:hAnsi="Trebuchet MS"/>
          <w:sz w:val="22"/>
          <w:szCs w:val="22"/>
        </w:rPr>
        <w:t xml:space="preserve">În perioada 2018 - 2022 </w:t>
      </w:r>
      <w:r w:rsidRPr="001F4DAE">
        <w:rPr>
          <w:rFonts w:ascii="Trebuchet MS" w:eastAsia="Trebuchet MS" w:hAnsi="Trebuchet MS"/>
          <w:sz w:val="22"/>
          <w:szCs w:val="22"/>
        </w:rPr>
        <w:t>Agenţia Naţională pentru Ocuparea Forţei de Muncă</w:t>
      </w:r>
      <w:r>
        <w:rPr>
          <w:rFonts w:ascii="Trebuchet MS" w:eastAsia="Trebuchet MS" w:hAnsi="Trebuchet MS"/>
          <w:sz w:val="22"/>
          <w:szCs w:val="22"/>
        </w:rPr>
        <w:t xml:space="preserve"> oferă sprijin financiar </w:t>
      </w:r>
      <w:r w:rsidR="00852BE2" w:rsidRPr="003051C8">
        <w:rPr>
          <w:rFonts w:ascii="Trebuchet MS" w:eastAsia="Trebuchet MS" w:hAnsi="Trebuchet MS"/>
          <w:sz w:val="22"/>
          <w:szCs w:val="22"/>
        </w:rPr>
        <w:t>angajatorilor care încadrează la locul de muncă şomeri peste 45 de ani, unici susţinători ai familiilor monoparentale, şomeri de lungă durată, conform prevederilor art.85 din Legea 76/2002, respectiv încadrarea în muncă</w:t>
      </w:r>
      <w:r w:rsidR="003051C8" w:rsidRPr="003051C8">
        <w:rPr>
          <w:rFonts w:ascii="Trebuchet MS" w:eastAsia="Trebuchet MS" w:hAnsi="Trebuchet MS"/>
          <w:sz w:val="22"/>
          <w:szCs w:val="22"/>
        </w:rPr>
        <w:t xml:space="preserve"> a </w:t>
      </w:r>
      <w:r w:rsidR="00852BE2" w:rsidRPr="003051C8">
        <w:rPr>
          <w:rFonts w:ascii="Trebuchet MS" w:eastAsia="Trebuchet MS" w:hAnsi="Trebuchet MS"/>
          <w:sz w:val="22"/>
          <w:szCs w:val="22"/>
        </w:rPr>
        <w:t>absolvenţilor non-NEET î</w:t>
      </w:r>
      <w:r w:rsidR="003051C8" w:rsidRPr="003051C8">
        <w:rPr>
          <w:rFonts w:ascii="Trebuchet MS" w:eastAsia="Trebuchet MS" w:hAnsi="Trebuchet MS"/>
          <w:sz w:val="22"/>
          <w:szCs w:val="22"/>
        </w:rPr>
        <w:t>n conformitate cu art.80 din Legea 76/2002 şi acorda prime şomerilor non-NEET care sunt înregistraţi la agenţiile pentru ocuparea forţei de muncă</w:t>
      </w:r>
    </w:p>
    <w:p w14:paraId="1C5A8C19" w14:textId="77777777" w:rsidR="003051C8" w:rsidRDefault="003051C8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p w14:paraId="0898B0B0" w14:textId="49E39C68" w:rsidR="00E21190" w:rsidRPr="001F4DAE" w:rsidRDefault="00E21190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 w:rsidRPr="001F4DAE">
        <w:rPr>
          <w:rFonts w:ascii="Trebuchet MS" w:eastAsia="Trebuchet MS" w:hAnsi="Trebuchet MS"/>
          <w:sz w:val="22"/>
          <w:szCs w:val="22"/>
        </w:rPr>
        <w:t xml:space="preserve">Agenţia Naţională pentru Ocuparea Forţei de Muncă </w:t>
      </w:r>
      <w:r w:rsidR="00CE7C48">
        <w:rPr>
          <w:rFonts w:ascii="Trebuchet MS" w:eastAsia="Trebuchet MS" w:hAnsi="Trebuchet MS"/>
          <w:sz w:val="22"/>
          <w:szCs w:val="22"/>
        </w:rPr>
        <w:t>va avea</w:t>
      </w:r>
      <w:r w:rsidRPr="001F4DAE">
        <w:rPr>
          <w:rFonts w:ascii="Trebuchet MS" w:eastAsia="Trebuchet MS" w:hAnsi="Trebuchet MS"/>
          <w:sz w:val="22"/>
          <w:szCs w:val="22"/>
        </w:rPr>
        <w:t xml:space="preserve"> în vedere recuperarea cheltuielilor aferente sprijinului financiar anterior menţionat la bugetul asigurărilor pentru şomaj din finanţarea nerambursabilă acordată din Fondul social european prin Programul Operational Capital Uman 2014-2020 prin implementarea proiectului </w:t>
      </w:r>
      <w:r w:rsidRPr="001F4DAE">
        <w:rPr>
          <w:rFonts w:ascii="Trebuchet MS" w:eastAsia="Trebuchet MS" w:hAnsi="Trebuchet MS"/>
          <w:sz w:val="22"/>
          <w:szCs w:val="22"/>
          <w:lang w:val="en-US"/>
        </w:rPr>
        <w:t>“</w:t>
      </w:r>
      <w:r w:rsidRPr="001F4DAE">
        <w:rPr>
          <w:rFonts w:ascii="Trebuchet MS" w:eastAsia="Trebuchet MS" w:hAnsi="Trebuchet MS"/>
          <w:sz w:val="22"/>
          <w:szCs w:val="22"/>
        </w:rPr>
        <w:t>PROACCES 2– Stimularea mobilității și subvenționarea locurilor de muncă pentru șomeri și inactivi”.</w:t>
      </w:r>
    </w:p>
    <w:p w14:paraId="05F288C3" w14:textId="77777777" w:rsidR="00E21190" w:rsidRPr="001F4DAE" w:rsidRDefault="00E21190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p w14:paraId="2F865DEA" w14:textId="1249D88E" w:rsidR="00E21190" w:rsidRPr="001F4DAE" w:rsidRDefault="00E21190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 w:rsidRPr="001F4DAE">
        <w:rPr>
          <w:rFonts w:ascii="Trebuchet MS" w:eastAsia="Trebuchet MS" w:hAnsi="Trebuchet MS"/>
          <w:sz w:val="22"/>
          <w:szCs w:val="22"/>
        </w:rPr>
        <w:t xml:space="preserve">În vederea verificării eligibilităţii cheltuielilor menţionate, se </w:t>
      </w:r>
      <w:r w:rsidR="00CE7C48">
        <w:rPr>
          <w:rFonts w:ascii="Trebuchet MS" w:eastAsia="Trebuchet MS" w:hAnsi="Trebuchet MS"/>
          <w:sz w:val="22"/>
          <w:szCs w:val="22"/>
        </w:rPr>
        <w:t xml:space="preserve">va </w:t>
      </w:r>
      <w:r w:rsidRPr="001F4DAE">
        <w:rPr>
          <w:rFonts w:ascii="Trebuchet MS" w:eastAsia="Trebuchet MS" w:hAnsi="Trebuchet MS"/>
          <w:sz w:val="22"/>
          <w:szCs w:val="22"/>
        </w:rPr>
        <w:t>impune transmiterea către Direcţia Generală Programe Capital Uman din cadrul Ministerului Fondurilor Europene</w:t>
      </w:r>
      <w:r w:rsidR="004D017D" w:rsidRPr="001F4DAE">
        <w:rPr>
          <w:rFonts w:ascii="Trebuchet MS" w:eastAsia="Trebuchet MS" w:hAnsi="Trebuchet MS"/>
          <w:sz w:val="22"/>
          <w:szCs w:val="22"/>
        </w:rPr>
        <w:t xml:space="preserve"> a documentelor prevăzute în acest sens de legislaţia naţională şi comunitar</w:t>
      </w:r>
      <w:r w:rsidR="00372E0F" w:rsidRPr="001F4DAE">
        <w:rPr>
          <w:rFonts w:ascii="Trebuchet MS" w:eastAsia="Trebuchet MS" w:hAnsi="Trebuchet MS"/>
          <w:sz w:val="22"/>
          <w:szCs w:val="22"/>
        </w:rPr>
        <w:t>ă, şi, implicit a efectuării un</w:t>
      </w:r>
      <w:r w:rsidR="004D017D" w:rsidRPr="001F4DAE">
        <w:rPr>
          <w:rFonts w:ascii="Trebuchet MS" w:eastAsia="Trebuchet MS" w:hAnsi="Trebuchet MS"/>
          <w:sz w:val="22"/>
          <w:szCs w:val="22"/>
        </w:rPr>
        <w:t>ei prelucrări de date cu caracter personal în sensul prevăzut de Regulamentul (UE)</w:t>
      </w:r>
      <w:r w:rsidR="00F220A8" w:rsidRPr="001F4DAE">
        <w:rPr>
          <w:rFonts w:ascii="Trebuchet MS" w:hAnsi="Trebuchet MS"/>
          <w:sz w:val="22"/>
          <w:szCs w:val="22"/>
        </w:rPr>
        <w:t xml:space="preserve"> </w:t>
      </w:r>
      <w:r w:rsidR="00F220A8" w:rsidRPr="001F4DAE">
        <w:rPr>
          <w:rFonts w:ascii="Trebuchet MS" w:eastAsia="Trebuchet MS" w:hAnsi="Trebuchet MS"/>
          <w:sz w:val="22"/>
          <w:szCs w:val="22"/>
        </w:rPr>
        <w:t>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 - RGPD).</w:t>
      </w:r>
    </w:p>
    <w:p w14:paraId="00638BFB" w14:textId="77777777" w:rsidR="00F220A8" w:rsidRPr="001F4DAE" w:rsidRDefault="00F220A8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</w:p>
    <w:p w14:paraId="76C94468" w14:textId="5A10E8CC" w:rsidR="00BD62AF" w:rsidRDefault="00F220A8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r w:rsidRPr="001F4DAE">
        <w:rPr>
          <w:rFonts w:ascii="Trebuchet MS" w:eastAsia="Trebuchet MS" w:hAnsi="Trebuchet MS"/>
          <w:sz w:val="22"/>
          <w:szCs w:val="22"/>
        </w:rPr>
        <w:t xml:space="preserve">În acest context, având în vedere prevederile regulamentului invocat precum şi cele ale Legii nr.190/2018 </w:t>
      </w:r>
      <w:r w:rsidRPr="001F4DAE">
        <w:rPr>
          <w:rFonts w:ascii="Trebuchet MS" w:eastAsia="Trebuchet MS" w:hAnsi="Trebuchet MS"/>
          <w:iCs/>
          <w:sz w:val="22"/>
          <w:szCs w:val="22"/>
        </w:rPr>
        <w:t xml:space="preserve">privind măsuri de punere în aplicare a </w:t>
      </w:r>
      <w:hyperlink r:id="rId13" w:tgtFrame="_blank" w:history="1">
        <w:r w:rsidR="008B6E6A">
          <w:rPr>
            <w:rFonts w:ascii="Trebuchet MS" w:eastAsia="Trebuchet MS" w:hAnsi="Trebuchet MS"/>
            <w:sz w:val="22"/>
            <w:szCs w:val="22"/>
          </w:rPr>
          <w:t xml:space="preserve">Regulamentului (UE) </w:t>
        </w:r>
        <w:r w:rsidRPr="001F4DAE">
          <w:rPr>
            <w:rFonts w:ascii="Trebuchet MS" w:eastAsia="Trebuchet MS" w:hAnsi="Trebuchet MS"/>
            <w:sz w:val="22"/>
            <w:szCs w:val="22"/>
          </w:rPr>
          <w:t>2016/679</w:t>
        </w:r>
      </w:hyperlink>
      <w:r w:rsidRPr="001F4DAE">
        <w:rPr>
          <w:rFonts w:ascii="Trebuchet MS" w:eastAsia="Trebuchet MS" w:hAnsi="Trebuchet MS"/>
          <w:iCs/>
          <w:sz w:val="22"/>
          <w:szCs w:val="22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hyperlink r:id="rId14" w:tgtFrame="_blank" w:history="1">
        <w:r w:rsidRPr="001F4DAE">
          <w:rPr>
            <w:rFonts w:ascii="Trebuchet MS" w:eastAsia="Trebuchet MS" w:hAnsi="Trebuchet MS"/>
            <w:sz w:val="22"/>
            <w:szCs w:val="22"/>
          </w:rPr>
          <w:t>Directivei 95/46/CE</w:t>
        </w:r>
      </w:hyperlink>
      <w:r w:rsidRPr="001F4DAE">
        <w:rPr>
          <w:rFonts w:ascii="Trebuchet MS" w:eastAsia="Trebuchet MS" w:hAnsi="Trebuchet MS"/>
          <w:iCs/>
          <w:sz w:val="22"/>
          <w:szCs w:val="22"/>
        </w:rPr>
        <w:t xml:space="preserve"> (Regulamentul general privind protecţia datelor), </w:t>
      </w:r>
      <w:r w:rsidRPr="001F4DAE">
        <w:rPr>
          <w:rFonts w:ascii="Trebuchet MS" w:eastAsia="Trebuchet MS" w:hAnsi="Trebuchet MS"/>
          <w:sz w:val="22"/>
          <w:szCs w:val="22"/>
        </w:rPr>
        <w:t xml:space="preserve">Agenţia Naţională pentru Ocuparea Forţei de Muncă informează </w:t>
      </w:r>
      <w:r w:rsidR="00E82A7E">
        <w:rPr>
          <w:rFonts w:ascii="Trebuchet MS" w:eastAsia="Trebuchet MS" w:hAnsi="Trebuchet MS"/>
          <w:sz w:val="22"/>
          <w:szCs w:val="22"/>
        </w:rPr>
        <w:t>beneficiarii de prime şi subvenţii pe proiectul</w:t>
      </w:r>
      <w:r w:rsidRPr="001F4DAE">
        <w:rPr>
          <w:rFonts w:ascii="Trebuchet MS" w:eastAsia="Trebuchet MS" w:hAnsi="Trebuchet MS"/>
          <w:sz w:val="22"/>
          <w:szCs w:val="22"/>
        </w:rPr>
        <w:t xml:space="preserve"> </w:t>
      </w:r>
      <w:r w:rsidR="00E82A7E" w:rsidRPr="001F4DAE">
        <w:rPr>
          <w:rFonts w:ascii="Trebuchet MS" w:eastAsia="Trebuchet MS" w:hAnsi="Trebuchet MS"/>
          <w:sz w:val="22"/>
          <w:szCs w:val="22"/>
          <w:lang w:val="en-US"/>
        </w:rPr>
        <w:t>“</w:t>
      </w:r>
      <w:r w:rsidR="00E82A7E" w:rsidRPr="001F4DAE">
        <w:rPr>
          <w:rFonts w:ascii="Trebuchet MS" w:eastAsia="Trebuchet MS" w:hAnsi="Trebuchet MS"/>
          <w:sz w:val="22"/>
          <w:szCs w:val="22"/>
        </w:rPr>
        <w:t>PROACCES 2– Stimularea mobilității și subvenționarea locurilor de muncă pentru șomeri și inactivi”</w:t>
      </w:r>
      <w:r w:rsidR="00E82A7E">
        <w:rPr>
          <w:rFonts w:ascii="Trebuchet MS" w:eastAsia="Trebuchet MS" w:hAnsi="Trebuchet MS"/>
          <w:sz w:val="22"/>
          <w:szCs w:val="22"/>
        </w:rPr>
        <w:t xml:space="preserve"> </w:t>
      </w:r>
      <w:r w:rsidR="009053F7" w:rsidRPr="001F4DAE">
        <w:rPr>
          <w:rFonts w:ascii="Trebuchet MS" w:eastAsia="Trebuchet MS" w:hAnsi="Trebuchet MS"/>
          <w:sz w:val="22"/>
          <w:szCs w:val="22"/>
        </w:rPr>
        <w:t>cu privire la transmiterea datelor cu caracter personal către Direcţia Generală Programe Capital Uman din cadrul Ministerului Fondurilor Europene</w:t>
      </w:r>
      <w:r w:rsidR="00BD62AF" w:rsidRPr="001F4DAE">
        <w:rPr>
          <w:rFonts w:ascii="Trebuchet MS" w:eastAsia="Trebuchet MS" w:hAnsi="Trebuchet MS"/>
          <w:sz w:val="22"/>
          <w:szCs w:val="22"/>
        </w:rPr>
        <w:t>.</w:t>
      </w:r>
    </w:p>
    <w:p w14:paraId="201E2125" w14:textId="77777777" w:rsidR="00737326" w:rsidRPr="001F4DAE" w:rsidRDefault="00737326" w:rsidP="00E21190">
      <w:pPr>
        <w:tabs>
          <w:tab w:val="left" w:pos="7503"/>
        </w:tabs>
        <w:jc w:val="both"/>
        <w:rPr>
          <w:rFonts w:ascii="Trebuchet MS" w:eastAsia="Trebuchet MS" w:hAnsi="Trebuchet MS"/>
          <w:sz w:val="22"/>
          <w:szCs w:val="22"/>
        </w:rPr>
      </w:pPr>
      <w:bookmarkStart w:id="0" w:name="_GoBack"/>
      <w:bookmarkEnd w:id="0"/>
    </w:p>
    <w:sectPr w:rsidR="00737326" w:rsidRPr="001F4DAE" w:rsidSect="00BD62AF">
      <w:footerReference w:type="default" r:id="rId15"/>
      <w:pgSz w:w="11906" w:h="16838"/>
      <w:pgMar w:top="1170" w:right="993" w:bottom="540" w:left="1276" w:header="709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D573F" w14:textId="77777777" w:rsidR="009D6587" w:rsidRDefault="009D6587" w:rsidP="00AB1717">
      <w:r>
        <w:separator/>
      </w:r>
    </w:p>
  </w:endnote>
  <w:endnote w:type="continuationSeparator" w:id="0">
    <w:p w14:paraId="31759CC3" w14:textId="77777777" w:rsidR="009D6587" w:rsidRDefault="009D658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25622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sz w:val="12"/>
            <w:szCs w:val="1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E4B15B" w14:textId="751058F9" w:rsidR="00571727" w:rsidRPr="00737326" w:rsidRDefault="00BD62AF" w:rsidP="005F148D">
            <w:pPr>
              <w:pStyle w:val="Footer"/>
              <w:jc w:val="right"/>
              <w:rPr>
                <w:sz w:val="12"/>
                <w:szCs w:val="12"/>
              </w:rPr>
            </w:pPr>
            <w:r w:rsidRPr="00737326">
              <w:rPr>
                <w:rFonts w:ascii="Trebuchet MS" w:eastAsia="Trebuchet MS" w:hAnsi="Trebuchet MS"/>
                <w:noProof/>
                <w:sz w:val="12"/>
                <w:szCs w:val="1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FCB3CBC" wp14:editId="43B3DCCC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147320</wp:posOffset>
                  </wp:positionV>
                  <wp:extent cx="744855" cy="360045"/>
                  <wp:effectExtent l="0" t="0" r="0" b="1905"/>
                  <wp:wrapNone/>
                  <wp:docPr id="2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1727" w:rsidRPr="00737326">
              <w:rPr>
                <w:sz w:val="12"/>
                <w:szCs w:val="12"/>
              </w:rPr>
              <w:t>Pag</w:t>
            </w:r>
            <w:r w:rsidR="005F148D" w:rsidRPr="00737326">
              <w:rPr>
                <w:sz w:val="12"/>
                <w:szCs w:val="12"/>
              </w:rPr>
              <w:t>ina</w:t>
            </w:r>
            <w:r w:rsidR="00571727" w:rsidRPr="00737326">
              <w:rPr>
                <w:sz w:val="12"/>
                <w:szCs w:val="12"/>
              </w:rPr>
              <w:t xml:space="preserve"> </w:t>
            </w:r>
            <w:r w:rsidR="00571727" w:rsidRPr="00737326">
              <w:rPr>
                <w:b/>
                <w:bCs/>
                <w:sz w:val="12"/>
                <w:szCs w:val="12"/>
              </w:rPr>
              <w:fldChar w:fldCharType="begin"/>
            </w:r>
            <w:r w:rsidR="00571727" w:rsidRPr="00737326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="00571727" w:rsidRPr="00737326">
              <w:rPr>
                <w:b/>
                <w:bCs/>
                <w:sz w:val="12"/>
                <w:szCs w:val="12"/>
              </w:rPr>
              <w:fldChar w:fldCharType="separate"/>
            </w:r>
            <w:r w:rsidR="00766276">
              <w:rPr>
                <w:b/>
                <w:bCs/>
                <w:noProof/>
                <w:sz w:val="12"/>
                <w:szCs w:val="12"/>
              </w:rPr>
              <w:t>1</w:t>
            </w:r>
            <w:r w:rsidR="00571727" w:rsidRPr="00737326">
              <w:rPr>
                <w:b/>
                <w:bCs/>
                <w:sz w:val="12"/>
                <w:szCs w:val="12"/>
              </w:rPr>
              <w:fldChar w:fldCharType="end"/>
            </w:r>
            <w:r w:rsidR="00571727" w:rsidRPr="00737326">
              <w:rPr>
                <w:sz w:val="12"/>
                <w:szCs w:val="12"/>
              </w:rPr>
              <w:t xml:space="preserve"> </w:t>
            </w:r>
            <w:r w:rsidR="005F148D" w:rsidRPr="00737326">
              <w:rPr>
                <w:sz w:val="12"/>
                <w:szCs w:val="12"/>
              </w:rPr>
              <w:t>din</w:t>
            </w:r>
            <w:r w:rsidR="00571727" w:rsidRPr="00737326">
              <w:rPr>
                <w:sz w:val="12"/>
                <w:szCs w:val="12"/>
              </w:rPr>
              <w:t xml:space="preserve"> </w:t>
            </w:r>
            <w:r w:rsidR="00737326">
              <w:rPr>
                <w:b/>
                <w:bCs/>
                <w:sz w:val="12"/>
                <w:szCs w:val="12"/>
              </w:rPr>
              <w:t>1</w:t>
            </w:r>
          </w:p>
        </w:sdtContent>
      </w:sdt>
    </w:sdtContent>
  </w:sdt>
  <w:p w14:paraId="67AA5234" w14:textId="4D001C53" w:rsidR="00AB1717" w:rsidRDefault="00AB1717" w:rsidP="00EF6B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9BCBD" w14:textId="77777777" w:rsidR="009D6587" w:rsidRDefault="009D6587" w:rsidP="00AB1717">
      <w:r>
        <w:separator/>
      </w:r>
    </w:p>
  </w:footnote>
  <w:footnote w:type="continuationSeparator" w:id="0">
    <w:p w14:paraId="15CD51B5" w14:textId="77777777" w:rsidR="009D6587" w:rsidRDefault="009D6587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E161C"/>
    <w:multiLevelType w:val="hybridMultilevel"/>
    <w:tmpl w:val="01AC6F54"/>
    <w:lvl w:ilvl="0" w:tplc="BF7C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C8D6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126D00C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C2BCC"/>
    <w:multiLevelType w:val="hybridMultilevel"/>
    <w:tmpl w:val="EC646B00"/>
    <w:lvl w:ilvl="0" w:tplc="D506EE62">
      <w:start w:val="1"/>
      <w:numFmt w:val="decimal"/>
      <w:lvlText w:val="%1."/>
      <w:lvlJc w:val="left"/>
      <w:pPr>
        <w:ind w:left="720" w:hanging="360"/>
      </w:pPr>
      <w:rPr>
        <w:rFonts w:eastAsia="Trebuchet MS" w:cs="Arial" w:hint="default"/>
        <w:color w:val="141F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6141"/>
    <w:multiLevelType w:val="hybridMultilevel"/>
    <w:tmpl w:val="96C0C9F8"/>
    <w:lvl w:ilvl="0" w:tplc="FF260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37CFA"/>
    <w:multiLevelType w:val="hybridMultilevel"/>
    <w:tmpl w:val="9EEE79EE"/>
    <w:lvl w:ilvl="0" w:tplc="D4A8C8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562D4"/>
    <w:multiLevelType w:val="hybridMultilevel"/>
    <w:tmpl w:val="A86CEACE"/>
    <w:lvl w:ilvl="0" w:tplc="47F85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583628C"/>
    <w:multiLevelType w:val="hybridMultilevel"/>
    <w:tmpl w:val="E74E4380"/>
    <w:lvl w:ilvl="0" w:tplc="FBBE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8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2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8D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A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4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A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4E441C"/>
    <w:multiLevelType w:val="hybridMultilevel"/>
    <w:tmpl w:val="D940E714"/>
    <w:lvl w:ilvl="0" w:tplc="70CA62F6">
      <w:start w:val="1"/>
      <w:numFmt w:val="decimal"/>
      <w:lvlText w:val="%1."/>
      <w:lvlJc w:val="left"/>
      <w:pPr>
        <w:ind w:left="1211" w:hanging="360"/>
      </w:pPr>
      <w:rPr>
        <w:rFonts w:ascii="Trebuchet MS" w:eastAsia="Trebuchet MS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0326"/>
    <w:rsid w:val="00005B0D"/>
    <w:rsid w:val="000255BD"/>
    <w:rsid w:val="00055246"/>
    <w:rsid w:val="000629FE"/>
    <w:rsid w:val="00065834"/>
    <w:rsid w:val="000776B6"/>
    <w:rsid w:val="000863B9"/>
    <w:rsid w:val="00091A9B"/>
    <w:rsid w:val="000A2DA9"/>
    <w:rsid w:val="000B6724"/>
    <w:rsid w:val="000B6C9B"/>
    <w:rsid w:val="000C2E11"/>
    <w:rsid w:val="000D1DE5"/>
    <w:rsid w:val="000D6A6D"/>
    <w:rsid w:val="000E22C7"/>
    <w:rsid w:val="000E2DE4"/>
    <w:rsid w:val="000F3DAC"/>
    <w:rsid w:val="000F4924"/>
    <w:rsid w:val="00100BB6"/>
    <w:rsid w:val="00124D01"/>
    <w:rsid w:val="001400B9"/>
    <w:rsid w:val="0014713E"/>
    <w:rsid w:val="001828B0"/>
    <w:rsid w:val="001856C0"/>
    <w:rsid w:val="001925AC"/>
    <w:rsid w:val="001936BA"/>
    <w:rsid w:val="00194FF0"/>
    <w:rsid w:val="001D4AF0"/>
    <w:rsid w:val="001D6B74"/>
    <w:rsid w:val="001E122F"/>
    <w:rsid w:val="001E65EA"/>
    <w:rsid w:val="001F4DAE"/>
    <w:rsid w:val="002103CD"/>
    <w:rsid w:val="0022106E"/>
    <w:rsid w:val="0023057F"/>
    <w:rsid w:val="002307B5"/>
    <w:rsid w:val="00232C16"/>
    <w:rsid w:val="00236191"/>
    <w:rsid w:val="00246A92"/>
    <w:rsid w:val="00292279"/>
    <w:rsid w:val="00292F8A"/>
    <w:rsid w:val="00296850"/>
    <w:rsid w:val="002A0469"/>
    <w:rsid w:val="002C1977"/>
    <w:rsid w:val="002C3E43"/>
    <w:rsid w:val="002D4255"/>
    <w:rsid w:val="002E226E"/>
    <w:rsid w:val="002E2DAE"/>
    <w:rsid w:val="003041AC"/>
    <w:rsid w:val="003051C8"/>
    <w:rsid w:val="003131BC"/>
    <w:rsid w:val="0032334D"/>
    <w:rsid w:val="003306EE"/>
    <w:rsid w:val="00333852"/>
    <w:rsid w:val="00334629"/>
    <w:rsid w:val="00335E3B"/>
    <w:rsid w:val="0036013B"/>
    <w:rsid w:val="003605A6"/>
    <w:rsid w:val="00361776"/>
    <w:rsid w:val="003700DE"/>
    <w:rsid w:val="00372E0F"/>
    <w:rsid w:val="00381FA0"/>
    <w:rsid w:val="003A52CE"/>
    <w:rsid w:val="003B196B"/>
    <w:rsid w:val="003C01E5"/>
    <w:rsid w:val="003D2B16"/>
    <w:rsid w:val="0040230B"/>
    <w:rsid w:val="00424150"/>
    <w:rsid w:val="00435098"/>
    <w:rsid w:val="00446844"/>
    <w:rsid w:val="00446932"/>
    <w:rsid w:val="00462542"/>
    <w:rsid w:val="00474D39"/>
    <w:rsid w:val="004914E6"/>
    <w:rsid w:val="004C581A"/>
    <w:rsid w:val="004D017D"/>
    <w:rsid w:val="004D36FD"/>
    <w:rsid w:val="004E4388"/>
    <w:rsid w:val="004E489F"/>
    <w:rsid w:val="004E67EA"/>
    <w:rsid w:val="00511669"/>
    <w:rsid w:val="0051693E"/>
    <w:rsid w:val="005418BE"/>
    <w:rsid w:val="00563902"/>
    <w:rsid w:val="00570FE6"/>
    <w:rsid w:val="00571727"/>
    <w:rsid w:val="00574D74"/>
    <w:rsid w:val="00590816"/>
    <w:rsid w:val="005F148D"/>
    <w:rsid w:val="00620682"/>
    <w:rsid w:val="006267B1"/>
    <w:rsid w:val="00634285"/>
    <w:rsid w:val="0065730C"/>
    <w:rsid w:val="00661473"/>
    <w:rsid w:val="0067145C"/>
    <w:rsid w:val="0067409B"/>
    <w:rsid w:val="00691777"/>
    <w:rsid w:val="006B01AA"/>
    <w:rsid w:val="006D53E3"/>
    <w:rsid w:val="006F7B8D"/>
    <w:rsid w:val="00703C7D"/>
    <w:rsid w:val="00737326"/>
    <w:rsid w:val="00755722"/>
    <w:rsid w:val="00766276"/>
    <w:rsid w:val="00797878"/>
    <w:rsid w:val="007A551B"/>
    <w:rsid w:val="007D660A"/>
    <w:rsid w:val="007F064A"/>
    <w:rsid w:val="007F48DA"/>
    <w:rsid w:val="008058D7"/>
    <w:rsid w:val="00816E71"/>
    <w:rsid w:val="00824161"/>
    <w:rsid w:val="00824CED"/>
    <w:rsid w:val="00826232"/>
    <w:rsid w:val="00837388"/>
    <w:rsid w:val="00841A9C"/>
    <w:rsid w:val="00842048"/>
    <w:rsid w:val="00846B69"/>
    <w:rsid w:val="00852BE2"/>
    <w:rsid w:val="00876447"/>
    <w:rsid w:val="00883AE4"/>
    <w:rsid w:val="00884B05"/>
    <w:rsid w:val="00892129"/>
    <w:rsid w:val="0089244B"/>
    <w:rsid w:val="008A66CC"/>
    <w:rsid w:val="008B15C8"/>
    <w:rsid w:val="008B6E6A"/>
    <w:rsid w:val="008B77B4"/>
    <w:rsid w:val="008C60C6"/>
    <w:rsid w:val="008E1292"/>
    <w:rsid w:val="008E4A0B"/>
    <w:rsid w:val="008E6AAC"/>
    <w:rsid w:val="008E77A1"/>
    <w:rsid w:val="0090024F"/>
    <w:rsid w:val="009053F7"/>
    <w:rsid w:val="009138CE"/>
    <w:rsid w:val="009322ED"/>
    <w:rsid w:val="00935277"/>
    <w:rsid w:val="00937899"/>
    <w:rsid w:val="00950BCB"/>
    <w:rsid w:val="0095140F"/>
    <w:rsid w:val="00956787"/>
    <w:rsid w:val="009729D9"/>
    <w:rsid w:val="00977F3D"/>
    <w:rsid w:val="00985D8F"/>
    <w:rsid w:val="009A5240"/>
    <w:rsid w:val="009B3A2B"/>
    <w:rsid w:val="009B50D9"/>
    <w:rsid w:val="009D5DA2"/>
    <w:rsid w:val="009D6587"/>
    <w:rsid w:val="00A27D0D"/>
    <w:rsid w:val="00A30170"/>
    <w:rsid w:val="00A30599"/>
    <w:rsid w:val="00A44D5A"/>
    <w:rsid w:val="00A477A8"/>
    <w:rsid w:val="00A57318"/>
    <w:rsid w:val="00A74958"/>
    <w:rsid w:val="00A83425"/>
    <w:rsid w:val="00A85496"/>
    <w:rsid w:val="00A869FE"/>
    <w:rsid w:val="00AA0560"/>
    <w:rsid w:val="00AA76F7"/>
    <w:rsid w:val="00AB1717"/>
    <w:rsid w:val="00AB68F3"/>
    <w:rsid w:val="00AC2676"/>
    <w:rsid w:val="00AF070D"/>
    <w:rsid w:val="00B43889"/>
    <w:rsid w:val="00B6060C"/>
    <w:rsid w:val="00B642CB"/>
    <w:rsid w:val="00B71E02"/>
    <w:rsid w:val="00B72CB5"/>
    <w:rsid w:val="00B7327A"/>
    <w:rsid w:val="00B77871"/>
    <w:rsid w:val="00B855E3"/>
    <w:rsid w:val="00B97745"/>
    <w:rsid w:val="00BB27F1"/>
    <w:rsid w:val="00BB5E9C"/>
    <w:rsid w:val="00BD62AF"/>
    <w:rsid w:val="00BD6CDA"/>
    <w:rsid w:val="00BE2DF6"/>
    <w:rsid w:val="00BE454F"/>
    <w:rsid w:val="00BE7AD5"/>
    <w:rsid w:val="00BF5F52"/>
    <w:rsid w:val="00C063D5"/>
    <w:rsid w:val="00C35E30"/>
    <w:rsid w:val="00C36209"/>
    <w:rsid w:val="00C45A13"/>
    <w:rsid w:val="00C70C16"/>
    <w:rsid w:val="00C7407E"/>
    <w:rsid w:val="00C758D1"/>
    <w:rsid w:val="00C76BC8"/>
    <w:rsid w:val="00C95053"/>
    <w:rsid w:val="00C95E9E"/>
    <w:rsid w:val="00CA1085"/>
    <w:rsid w:val="00CB2814"/>
    <w:rsid w:val="00CC2603"/>
    <w:rsid w:val="00CE0F5E"/>
    <w:rsid w:val="00CE5765"/>
    <w:rsid w:val="00CE662D"/>
    <w:rsid w:val="00CE7C48"/>
    <w:rsid w:val="00CF15F9"/>
    <w:rsid w:val="00D0102A"/>
    <w:rsid w:val="00D01718"/>
    <w:rsid w:val="00D03448"/>
    <w:rsid w:val="00D119DD"/>
    <w:rsid w:val="00D56419"/>
    <w:rsid w:val="00D63515"/>
    <w:rsid w:val="00D64BA0"/>
    <w:rsid w:val="00D66A9D"/>
    <w:rsid w:val="00D73098"/>
    <w:rsid w:val="00D74EF5"/>
    <w:rsid w:val="00D86850"/>
    <w:rsid w:val="00D86E0E"/>
    <w:rsid w:val="00D90D69"/>
    <w:rsid w:val="00D93E94"/>
    <w:rsid w:val="00DA18B9"/>
    <w:rsid w:val="00DB11F2"/>
    <w:rsid w:val="00DC46E1"/>
    <w:rsid w:val="00DC59C7"/>
    <w:rsid w:val="00DE1279"/>
    <w:rsid w:val="00DE4D2E"/>
    <w:rsid w:val="00DE6BB2"/>
    <w:rsid w:val="00E12215"/>
    <w:rsid w:val="00E21190"/>
    <w:rsid w:val="00E22069"/>
    <w:rsid w:val="00E279C0"/>
    <w:rsid w:val="00E34B32"/>
    <w:rsid w:val="00E37E81"/>
    <w:rsid w:val="00E418DF"/>
    <w:rsid w:val="00E43D70"/>
    <w:rsid w:val="00E82A7E"/>
    <w:rsid w:val="00E8312B"/>
    <w:rsid w:val="00EC084C"/>
    <w:rsid w:val="00EC3FBF"/>
    <w:rsid w:val="00EC532B"/>
    <w:rsid w:val="00ED51B1"/>
    <w:rsid w:val="00ED6F9E"/>
    <w:rsid w:val="00EF2E24"/>
    <w:rsid w:val="00EF43D7"/>
    <w:rsid w:val="00EF53ED"/>
    <w:rsid w:val="00EF6BCB"/>
    <w:rsid w:val="00F142CA"/>
    <w:rsid w:val="00F2041E"/>
    <w:rsid w:val="00F220A8"/>
    <w:rsid w:val="00F34332"/>
    <w:rsid w:val="00F35244"/>
    <w:rsid w:val="00F42C8B"/>
    <w:rsid w:val="00F478DC"/>
    <w:rsid w:val="00F51BDA"/>
    <w:rsid w:val="00F552D6"/>
    <w:rsid w:val="00F724D6"/>
    <w:rsid w:val="00F810E6"/>
    <w:rsid w:val="00F96494"/>
    <w:rsid w:val="00FA66CC"/>
    <w:rsid w:val="00FB12B4"/>
    <w:rsid w:val="00FB2846"/>
    <w:rsid w:val="00FC0289"/>
    <w:rsid w:val="00FC0E6F"/>
    <w:rsid w:val="00FC36DD"/>
    <w:rsid w:val="00FC537D"/>
    <w:rsid w:val="00FD1304"/>
    <w:rsid w:val="00FE2A3A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leGrid">
    <w:name w:val="Table Grid"/>
    <w:basedOn w:val="Table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F220A8"/>
    <w:rPr>
      <w:i/>
      <w:iCs/>
    </w:rPr>
  </w:style>
  <w:style w:type="character" w:customStyle="1" w:styleId="fontstyle01">
    <w:name w:val="fontstyle01"/>
    <w:basedOn w:val="DefaultParagraphFont"/>
    <w:rsid w:val="00852BE2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leGrid">
    <w:name w:val="Table Grid"/>
    <w:basedOn w:val="Table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F220A8"/>
    <w:rPr>
      <w:i/>
      <w:iCs/>
    </w:rPr>
  </w:style>
  <w:style w:type="character" w:customStyle="1" w:styleId="fontstyle01">
    <w:name w:val="fontstyle01"/>
    <w:basedOn w:val="DefaultParagraphFont"/>
    <w:rsid w:val="00852BE2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is.anofm.local/Eurolegis/eurolegisIE/cautare/index1.jsp?intralegis_id=615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egis.anofm.local/Eurolegis/eurolegisIE/cautare/index1.jsp?intralegis_id=610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E540-19C8-425C-8510-00670AFF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118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Cristina Radu</cp:lastModifiedBy>
  <cp:revision>28</cp:revision>
  <cp:lastPrinted>2019-01-07T14:37:00Z</cp:lastPrinted>
  <dcterms:created xsi:type="dcterms:W3CDTF">2019-05-21T14:44:00Z</dcterms:created>
  <dcterms:modified xsi:type="dcterms:W3CDTF">2019-09-05T04:56:00Z</dcterms:modified>
</cp:coreProperties>
</file>