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  <w:r>
        <w:tab/>
      </w:r>
      <w:r w:rsidR="00667D62">
        <w:t>Aprilie</w:t>
      </w:r>
      <w:r w:rsidR="00D97E76">
        <w:t xml:space="preserve"> </w:t>
      </w:r>
      <w:r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Pr="00917588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D97E76">
        <w:rPr>
          <w:b/>
        </w:rPr>
        <w:t xml:space="preserve">  </w:t>
      </w:r>
      <w:r w:rsidR="00107A06">
        <w:rPr>
          <w:b/>
        </w:rPr>
        <w:t>4,</w:t>
      </w:r>
      <w:r w:rsidR="00667D62">
        <w:rPr>
          <w:b/>
        </w:rPr>
        <w:t>55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667D62">
        <w:rPr>
          <w:b/>
        </w:rPr>
        <w:t>martie</w:t>
      </w:r>
      <w:r w:rsidR="00D97E7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667D62">
        <w:t>martie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667D62">
        <w:t>679</w:t>
      </w:r>
      <w:r>
        <w:t xml:space="preserve"> șomeri (din care 1</w:t>
      </w:r>
      <w:r w:rsidR="00667D62">
        <w:t>910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667D62">
        <w:t>5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31620A">
        <w:t>6</w:t>
      </w:r>
      <w:r w:rsidR="00667D62">
        <w:t>3</w:t>
      </w:r>
      <w:r>
        <w:t xml:space="preserve">%, în această lună acest indicator a înregistrat o </w:t>
      </w:r>
      <w:r w:rsidR="00667D62">
        <w:t>u</w:t>
      </w:r>
      <w:r w:rsidR="00667D62">
        <w:rPr>
          <w:lang w:val="ro-RO"/>
        </w:rPr>
        <w:t>şoară scădere de</w:t>
      </w:r>
      <w:r>
        <w:t xml:space="preserve">  0,</w:t>
      </w:r>
      <w:r w:rsidR="0031620A">
        <w:t>02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667D62">
        <w:t xml:space="preserve">679 </w:t>
      </w:r>
      <w:r>
        <w:t xml:space="preserve">persoane înregistrate în evidențele AJOFM Sălaj, </w:t>
      </w:r>
      <w:r w:rsidR="00667D62">
        <w:t>861</w:t>
      </w:r>
      <w:r>
        <w:t xml:space="preserve"> erau beneficiari de indemniza</w:t>
      </w:r>
      <w:r>
        <w:rPr>
          <w:lang w:val="ro-RO"/>
        </w:rPr>
        <w:t xml:space="preserve">ţie de şomaj, </w:t>
      </w:r>
      <w:r w:rsidR="0031620A">
        <w:t>iar 38</w:t>
      </w:r>
      <w:r w:rsidR="00667D62">
        <w:t>1</w:t>
      </w:r>
      <w:r w:rsidR="0031620A">
        <w:t>8</w:t>
      </w:r>
      <w:r>
        <w:t xml:space="preserve"> erau șomeri neindemnizați. În ceea ce p</w:t>
      </w:r>
      <w:r w:rsidR="00667D62">
        <w:t>rivește mediul de rezidență,  3</w:t>
      </w:r>
      <w:r w:rsidR="0031620A">
        <w:t>7</w:t>
      </w:r>
      <w:r w:rsidR="00667D62">
        <w:t>61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667D62">
        <w:rPr>
          <w:lang w:val="ro-RO"/>
        </w:rPr>
        <w:t>918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1620A" w:rsidP="00A0244B">
            <w:pPr>
              <w:spacing w:line="240" w:lineRule="auto"/>
              <w:ind w:left="0"/>
              <w:jc w:val="center"/>
            </w:pPr>
            <w:r>
              <w:t>4</w:t>
            </w:r>
            <w:r w:rsidR="00A0244B">
              <w:t>679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A0244B" w:rsidP="0033150D">
            <w:pPr>
              <w:spacing w:line="240" w:lineRule="auto"/>
              <w:ind w:left="0"/>
              <w:jc w:val="center"/>
            </w:pPr>
            <w:r>
              <w:t>677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0244B" w:rsidP="0033150D">
            <w:pPr>
              <w:spacing w:line="240" w:lineRule="auto"/>
              <w:ind w:left="0"/>
              <w:jc w:val="center"/>
            </w:pPr>
            <w:r>
              <w:t>349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0244B" w:rsidP="0033150D">
            <w:pPr>
              <w:spacing w:line="240" w:lineRule="auto"/>
              <w:ind w:left="0"/>
              <w:jc w:val="center"/>
            </w:pPr>
            <w:r>
              <w:t>974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A0244B">
              <w:t>1213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A0244B" w:rsidP="0033150D">
            <w:pPr>
              <w:spacing w:line="240" w:lineRule="auto"/>
              <w:ind w:left="0"/>
              <w:jc w:val="center"/>
            </w:pPr>
            <w:r>
              <w:t>758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A0244B" w:rsidP="0033150D">
            <w:pPr>
              <w:spacing w:line="240" w:lineRule="auto"/>
              <w:ind w:left="0"/>
              <w:jc w:val="center"/>
            </w:pPr>
            <w:r>
              <w:t>708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3EB2A855" wp14:editId="66F0A6CF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(4</w:t>
      </w:r>
      <w:r w:rsidR="00A0244B">
        <w:rPr>
          <w:rFonts w:cs="Arial"/>
          <w:color w:val="000000"/>
          <w:lang w:val="ro-RO"/>
        </w:rPr>
        <w:t>4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(2</w:t>
      </w:r>
      <w:r w:rsidR="00A0244B">
        <w:rPr>
          <w:rFonts w:cs="Arial"/>
          <w:color w:val="000000"/>
          <w:lang w:val="ro-RO"/>
        </w:rPr>
        <w:t>5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31620A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A0244B">
        <w:rPr>
          <w:rFonts w:cs="Arial"/>
          <w:color w:val="000000"/>
          <w:lang w:val="ro-RO"/>
        </w:rPr>
        <w:t>iceal şi postliceal reprez</w:t>
      </w:r>
      <w:bookmarkStart w:id="0" w:name="_GoBack"/>
      <w:bookmarkEnd w:id="0"/>
      <w:r w:rsidR="00A0244B">
        <w:rPr>
          <w:rFonts w:cs="Arial"/>
          <w:color w:val="000000"/>
          <w:lang w:val="ro-RO"/>
        </w:rPr>
        <w:t>intă 20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 </w:t>
      </w:r>
      <w:r w:rsidR="00A0244B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A0244B">
        <w:rPr>
          <w:rFonts w:cs="Arial"/>
          <w:color w:val="000000"/>
          <w:lang w:val="ro-RO"/>
        </w:rPr>
        <w:t>3356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A0244B">
        <w:rPr>
          <w:rFonts w:cs="Arial"/>
          <w:color w:val="000000"/>
          <w:lang w:val="ro-RO"/>
        </w:rPr>
        <w:t>749</w:t>
      </w:r>
      <w:r>
        <w:rPr>
          <w:rFonts w:cs="Arial"/>
          <w:color w:val="000000"/>
          <w:lang w:val="ro-RO"/>
        </w:rPr>
        <w:t xml:space="preserve"> greu ocupabile, 3</w:t>
      </w:r>
      <w:r w:rsidR="00A0244B">
        <w:rPr>
          <w:rFonts w:cs="Arial"/>
          <w:color w:val="000000"/>
          <w:lang w:val="ro-RO"/>
        </w:rPr>
        <w:t>69</w:t>
      </w:r>
      <w:r>
        <w:rPr>
          <w:rFonts w:cs="Arial"/>
          <w:color w:val="000000"/>
          <w:lang w:val="ro-RO"/>
        </w:rPr>
        <w:t xml:space="preserve"> mediu ocupabile, iar </w:t>
      </w:r>
      <w:r w:rsidR="0031620A">
        <w:rPr>
          <w:rFonts w:cs="Arial"/>
          <w:color w:val="000000"/>
          <w:lang w:val="ro-RO"/>
        </w:rPr>
        <w:t>2</w:t>
      </w:r>
      <w:r w:rsidR="00A0244B">
        <w:rPr>
          <w:rFonts w:cs="Arial"/>
          <w:color w:val="000000"/>
          <w:lang w:val="ro-RO"/>
        </w:rPr>
        <w:t>05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30" w:rsidRDefault="00605930" w:rsidP="00CD5B3B">
      <w:r>
        <w:separator/>
      </w:r>
    </w:p>
  </w:endnote>
  <w:endnote w:type="continuationSeparator" w:id="0">
    <w:p w:rsidR="00605930" w:rsidRDefault="0060593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1551B" wp14:editId="63EA9904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954082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43F0B9" wp14:editId="777698D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0244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0244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30" w:rsidRDefault="00605930" w:rsidP="00CD5B3B">
      <w:r>
        <w:separator/>
      </w:r>
    </w:p>
  </w:footnote>
  <w:footnote w:type="continuationSeparator" w:id="0">
    <w:p w:rsidR="00605930" w:rsidRDefault="0060593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406074" wp14:editId="73C120C6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53133594" wp14:editId="22FB4CF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C3EC7B" wp14:editId="0053FB3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A5EA6"/>
    <w:rsid w:val="000B416C"/>
    <w:rsid w:val="000E6233"/>
    <w:rsid w:val="000F688A"/>
    <w:rsid w:val="00100F36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206CEA"/>
    <w:rsid w:val="00213334"/>
    <w:rsid w:val="0021532B"/>
    <w:rsid w:val="00242556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64B14"/>
    <w:rsid w:val="00381F29"/>
    <w:rsid w:val="00390AEC"/>
    <w:rsid w:val="00395093"/>
    <w:rsid w:val="003A6AC1"/>
    <w:rsid w:val="003D4B66"/>
    <w:rsid w:val="003E5155"/>
    <w:rsid w:val="003F0631"/>
    <w:rsid w:val="003F33C5"/>
    <w:rsid w:val="004012C9"/>
    <w:rsid w:val="00404C1B"/>
    <w:rsid w:val="00404FAC"/>
    <w:rsid w:val="004076BB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322FD"/>
    <w:rsid w:val="00637D9B"/>
    <w:rsid w:val="006579C6"/>
    <w:rsid w:val="006631F1"/>
    <w:rsid w:val="00667D62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7F59"/>
    <w:rsid w:val="00B4093B"/>
    <w:rsid w:val="00B44471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419C"/>
    <w:rsid w:val="00D86F1D"/>
    <w:rsid w:val="00D90811"/>
    <w:rsid w:val="00D96A31"/>
    <w:rsid w:val="00D97E76"/>
    <w:rsid w:val="00DA2381"/>
    <w:rsid w:val="00DC05D3"/>
    <w:rsid w:val="00DC08D4"/>
    <w:rsid w:val="00DD59E9"/>
    <w:rsid w:val="00DF42F3"/>
    <w:rsid w:val="00E11F3F"/>
    <w:rsid w:val="00E42F45"/>
    <w:rsid w:val="00E53964"/>
    <w:rsid w:val="00E562FC"/>
    <w:rsid w:val="00E570EF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EF6A-C37D-498E-8378-AEB27BEB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3</cp:revision>
  <cp:lastPrinted>2019-03-18T09:36:00Z</cp:lastPrinted>
  <dcterms:created xsi:type="dcterms:W3CDTF">2019-04-22T11:25:00Z</dcterms:created>
  <dcterms:modified xsi:type="dcterms:W3CDTF">2019-04-22T12:59:00Z</dcterms:modified>
</cp:coreProperties>
</file>