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60" w:rsidRDefault="00C63960" w:rsidP="00D57A45">
      <w:pPr>
        <w:spacing w:line="276" w:lineRule="auto"/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</w:pPr>
    </w:p>
    <w:p w:rsidR="00F00B9B" w:rsidRDefault="00F00B9B" w:rsidP="00D57A45">
      <w:pPr>
        <w:spacing w:line="276" w:lineRule="auto"/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</w:pPr>
    </w:p>
    <w:p w:rsidR="007B4D5D" w:rsidRPr="007B4D5D" w:rsidRDefault="007B4D5D" w:rsidP="00D57A45">
      <w:pPr>
        <w:spacing w:line="276" w:lineRule="auto"/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</w:pPr>
      <w:r w:rsidRPr="007B4D5D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Fondul Social European</w:t>
      </w:r>
    </w:p>
    <w:p w:rsidR="0037497E" w:rsidRPr="009B2B95" w:rsidRDefault="00F522BC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Programul Operațional Capital Uman 2014 – 2020 </w:t>
      </w:r>
    </w:p>
    <w:p w:rsidR="00404682" w:rsidRPr="009B2B95" w:rsidRDefault="00404682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Axa prioritară </w:t>
      </w:r>
      <w:r w:rsidR="00F522BC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2</w:t>
      </w:r>
      <w:r w:rsidR="00B52AFF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 - </w:t>
      </w:r>
      <w:r w:rsidR="00F522BC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Îmbunătățirea situației tinerilor din categoria NEETs</w:t>
      </w:r>
    </w:p>
    <w:p w:rsidR="00962675" w:rsidRDefault="00B52AFF" w:rsidP="000172C8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Obiectiv specific 2.3 - Creşterea numărului tinerilor NEETs inactivi înregistraţi la Serviciul Public de Ocupare</w:t>
      </w:r>
    </w:p>
    <w:p w:rsidR="000172C8" w:rsidRDefault="000172C8" w:rsidP="000172C8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404682" w:rsidRPr="009B2B95" w:rsidRDefault="0037497E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9B2B95">
        <w:rPr>
          <w:rFonts w:ascii="Trebuchet MS" w:hAnsi="Trebuchet MS" w:cs="Arial"/>
          <w:b/>
          <w:sz w:val="22"/>
          <w:szCs w:val="22"/>
          <w:lang w:val="ro-RO"/>
        </w:rPr>
        <w:t xml:space="preserve">INTESPO – Înregistrarea Tinerilor în Evidențele Serviciului Public de Ocupare </w:t>
      </w:r>
    </w:p>
    <w:p w:rsidR="001559A1" w:rsidRPr="00C63960" w:rsidRDefault="0037497E" w:rsidP="00C63960">
      <w:pPr>
        <w:tabs>
          <w:tab w:val="left" w:pos="2150"/>
        </w:tabs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9B2B95">
        <w:rPr>
          <w:rFonts w:ascii="Trebuchet MS" w:hAnsi="Trebuchet MS" w:cs="Arial"/>
          <w:b/>
          <w:sz w:val="22"/>
          <w:szCs w:val="22"/>
          <w:lang w:val="ro-RO"/>
        </w:rPr>
        <w:t>POCU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135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2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3</w:t>
      </w:r>
      <w:r w:rsidR="00334275">
        <w:rPr>
          <w:rFonts w:ascii="Trebuchet MS" w:hAnsi="Trebuchet MS" w:cs="Arial"/>
          <w:b/>
          <w:sz w:val="22"/>
          <w:szCs w:val="22"/>
          <w:lang w:val="ro-RO"/>
        </w:rPr>
        <w:t>/113589</w:t>
      </w:r>
    </w:p>
    <w:p w:rsidR="00770BF5" w:rsidRDefault="00F46609" w:rsidP="00F46609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</w:r>
      <w:r>
        <w:rPr>
          <w:rFonts w:ascii="Trebuchet MS" w:eastAsia="MS Mincho" w:hAnsi="Trebuchet MS"/>
          <w:b/>
          <w:sz w:val="22"/>
          <w:szCs w:val="22"/>
        </w:rPr>
        <w:tab/>
        <w:t xml:space="preserve">   </w:t>
      </w:r>
      <w:r w:rsidR="005F2F35">
        <w:rPr>
          <w:rFonts w:ascii="Trebuchet MS" w:eastAsia="MS Mincho" w:hAnsi="Trebuchet MS"/>
          <w:b/>
          <w:sz w:val="22"/>
          <w:szCs w:val="22"/>
        </w:rPr>
        <w:t xml:space="preserve">     </w:t>
      </w:r>
      <w:bookmarkStart w:id="0" w:name="_GoBack"/>
      <w:bookmarkEnd w:id="0"/>
      <w:r w:rsidR="005F2F35">
        <w:rPr>
          <w:rFonts w:ascii="Trebuchet MS" w:eastAsia="MS Mincho" w:hAnsi="Trebuchet MS"/>
          <w:b/>
          <w:sz w:val="22"/>
          <w:szCs w:val="22"/>
        </w:rPr>
        <w:t>31</w:t>
      </w:r>
      <w:r>
        <w:rPr>
          <w:rFonts w:ascii="Trebuchet MS" w:eastAsia="MS Mincho" w:hAnsi="Trebuchet MS"/>
          <w:b/>
          <w:sz w:val="22"/>
          <w:szCs w:val="22"/>
        </w:rPr>
        <w:t xml:space="preserve"> Mai 2018</w:t>
      </w:r>
    </w:p>
    <w:p w:rsidR="008C30B8" w:rsidRDefault="008C6D20" w:rsidP="008C30B8">
      <w:pPr>
        <w:spacing w:after="120" w:line="276" w:lineRule="auto"/>
        <w:jc w:val="center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57B8B" wp14:editId="57E17EFA">
                <wp:simplePos x="0" y="0"/>
                <wp:positionH relativeFrom="column">
                  <wp:posOffset>7950</wp:posOffset>
                </wp:positionH>
                <wp:positionV relativeFrom="paragraph">
                  <wp:posOffset>86553</wp:posOffset>
                </wp:positionV>
                <wp:extent cx="6321287" cy="341630"/>
                <wp:effectExtent l="0" t="0" r="3810" b="12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287" cy="34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5B5" w:rsidRPr="008C6D20" w:rsidRDefault="006755B5" w:rsidP="006755B5">
                            <w:pPr>
                              <w:spacing w:after="120" w:line="276" w:lineRule="auto"/>
                              <w:jc w:val="center"/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  <w:lang w:val="ro-RO"/>
                              </w:rPr>
                            </w:pPr>
                            <w:proofErr w:type="spellStart"/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>Experții</w:t>
                            </w:r>
                            <w:proofErr w:type="spellEnd"/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>ocupare</w:t>
                            </w:r>
                            <w:proofErr w:type="spellEnd"/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din </w:t>
                            </w:r>
                            <w:proofErr w:type="spellStart"/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>echipele</w:t>
                            </w:r>
                            <w:proofErr w:type="spellEnd"/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locale de </w:t>
                            </w:r>
                            <w:proofErr w:type="spellStart"/>
                            <w:r w:rsidRPr="008C6D20">
                              <w:rPr>
                                <w:rFonts w:ascii="Trebuchet MS" w:eastAsia="MS Mincho" w:hAnsi="Trebuchet MS"/>
                                <w:b/>
                                <w:i/>
                                <w:sz w:val="26"/>
                                <w:szCs w:val="26"/>
                              </w:rPr>
                              <w:t>intervenție</w:t>
                            </w:r>
                            <w:proofErr w:type="spellEnd"/>
                          </w:p>
                          <w:p w:rsidR="006755B5" w:rsidRDefault="006755B5" w:rsidP="00675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65pt;margin-top:6.8pt;width:497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" fillcolor="#4f81bd [3204]" stroked="f" strokeweight="2pt">
                <v:textbox>
                  <w:txbxContent>
                    <w:p w:rsidR="006755B5" w:rsidRPr="008C6D20" w:rsidRDefault="006755B5" w:rsidP="006755B5">
                      <w:pPr>
                        <w:spacing w:after="120" w:line="276" w:lineRule="auto"/>
                        <w:jc w:val="center"/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  <w:lang w:val="ro-RO"/>
                        </w:rPr>
                      </w:pP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Experții</w:t>
                      </w:r>
                      <w:proofErr w:type="spellEnd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ocupare</w:t>
                      </w:r>
                      <w:proofErr w:type="spellEnd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 xml:space="preserve"> din </w:t>
                      </w: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echipele</w:t>
                      </w:r>
                      <w:proofErr w:type="spellEnd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 xml:space="preserve"> locale de </w:t>
                      </w:r>
                      <w:proofErr w:type="spellStart"/>
                      <w:r w:rsidRPr="008C6D20">
                        <w:rPr>
                          <w:rFonts w:ascii="Trebuchet MS" w:eastAsia="MS Mincho" w:hAnsi="Trebuchet MS"/>
                          <w:b/>
                          <w:i/>
                          <w:sz w:val="26"/>
                          <w:szCs w:val="26"/>
                        </w:rPr>
                        <w:t>intervenție</w:t>
                      </w:r>
                      <w:proofErr w:type="spellEnd"/>
                    </w:p>
                    <w:p w:rsidR="006755B5" w:rsidRDefault="006755B5" w:rsidP="006755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6036" w:rsidRPr="008C30B8" w:rsidRDefault="00BE6036" w:rsidP="008C30B8">
      <w:pPr>
        <w:spacing w:after="120" w:line="276" w:lineRule="auto"/>
        <w:jc w:val="center"/>
        <w:rPr>
          <w:rFonts w:ascii="Trebuchet MS" w:eastAsia="MS Mincho" w:hAnsi="Trebuchet MS"/>
          <w:b/>
          <w:sz w:val="22"/>
          <w:szCs w:val="22"/>
        </w:rPr>
      </w:pPr>
    </w:p>
    <w:p w:rsidR="00876CEA" w:rsidRPr="00876CEA" w:rsidRDefault="00876CEA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876CEA">
        <w:rPr>
          <w:rFonts w:ascii="Trebuchet MS" w:eastAsia="MS Mincho" w:hAnsi="Trebuchet MS"/>
          <w:sz w:val="22"/>
          <w:szCs w:val="22"/>
        </w:rPr>
        <w:t>Agenția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Națională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Ocuparea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Forței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Muncă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implementează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parteneriat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cu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Ministerul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Muncii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Justiției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Sociale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Ministerul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Educației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Naționale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Agenția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Națională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Plăți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Inspecție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Socială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proiectul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r w:rsidRPr="00F47F79">
        <w:rPr>
          <w:rFonts w:ascii="Trebuchet MS" w:eastAsia="MS Mincho" w:hAnsi="Trebuchet MS"/>
          <w:i/>
          <w:sz w:val="22"/>
          <w:szCs w:val="22"/>
        </w:rPr>
        <w:t xml:space="preserve">INTESPO – </w:t>
      </w:r>
      <w:proofErr w:type="spellStart"/>
      <w:r w:rsidRPr="00F47F79">
        <w:rPr>
          <w:rFonts w:ascii="Trebuchet MS" w:eastAsia="MS Mincho" w:hAnsi="Trebuchet MS"/>
          <w:i/>
          <w:sz w:val="22"/>
          <w:szCs w:val="22"/>
        </w:rPr>
        <w:t>Înregistrarea</w:t>
      </w:r>
      <w:proofErr w:type="spellEnd"/>
      <w:r w:rsidRPr="00F47F79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Pr="00F47F79">
        <w:rPr>
          <w:rFonts w:ascii="Trebuchet MS" w:eastAsia="MS Mincho" w:hAnsi="Trebuchet MS"/>
          <w:i/>
          <w:sz w:val="22"/>
          <w:szCs w:val="22"/>
        </w:rPr>
        <w:t>Tinerilor</w:t>
      </w:r>
      <w:proofErr w:type="spellEnd"/>
      <w:r w:rsidRPr="00F47F79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Pr="00F47F79">
        <w:rPr>
          <w:rFonts w:ascii="Trebuchet MS" w:eastAsia="MS Mincho" w:hAnsi="Trebuchet MS"/>
          <w:i/>
          <w:sz w:val="22"/>
          <w:szCs w:val="22"/>
        </w:rPr>
        <w:t>în</w:t>
      </w:r>
      <w:proofErr w:type="spellEnd"/>
      <w:r w:rsidRPr="00F47F79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Pr="00F47F79">
        <w:rPr>
          <w:rFonts w:ascii="Trebuchet MS" w:eastAsia="MS Mincho" w:hAnsi="Trebuchet MS"/>
          <w:i/>
          <w:sz w:val="22"/>
          <w:szCs w:val="22"/>
        </w:rPr>
        <w:t>Evidențele</w:t>
      </w:r>
      <w:proofErr w:type="spellEnd"/>
      <w:r w:rsidRPr="00F47F79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Pr="00F47F79">
        <w:rPr>
          <w:rFonts w:ascii="Trebuchet MS" w:eastAsia="MS Mincho" w:hAnsi="Trebuchet MS"/>
          <w:i/>
          <w:sz w:val="22"/>
          <w:szCs w:val="22"/>
        </w:rPr>
        <w:t>Serviciului</w:t>
      </w:r>
      <w:proofErr w:type="spellEnd"/>
      <w:r w:rsidRPr="00F47F79">
        <w:rPr>
          <w:rFonts w:ascii="Trebuchet MS" w:eastAsia="MS Mincho" w:hAnsi="Trebuchet MS"/>
          <w:i/>
          <w:sz w:val="22"/>
          <w:szCs w:val="22"/>
        </w:rPr>
        <w:t xml:space="preserve"> Public de </w:t>
      </w:r>
      <w:proofErr w:type="spellStart"/>
      <w:r w:rsidRPr="00F47F79">
        <w:rPr>
          <w:rFonts w:ascii="Trebuchet MS" w:eastAsia="MS Mincho" w:hAnsi="Trebuchet MS"/>
          <w:i/>
          <w:sz w:val="22"/>
          <w:szCs w:val="22"/>
        </w:rPr>
        <w:t>Ocupare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. </w:t>
      </w:r>
    </w:p>
    <w:p w:rsidR="008C30B8" w:rsidRDefault="00876CEA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proofErr w:type="gramStart"/>
      <w:r w:rsidRPr="00876CEA">
        <w:rPr>
          <w:rFonts w:ascii="Trebuchet MS" w:eastAsia="MS Mincho" w:hAnsi="Trebuchet MS"/>
          <w:sz w:val="22"/>
          <w:szCs w:val="22"/>
        </w:rPr>
        <w:t>Obiectivul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general al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proiectului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îl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constituie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creșterea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numărului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tineri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NEETs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înregistrați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Serviciul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Public de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Ocupare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(SPO)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vederea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furnizării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măsuri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specializate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876CEA">
        <w:rPr>
          <w:rFonts w:ascii="Trebuchet MS" w:eastAsia="MS Mincho" w:hAnsi="Trebuchet MS"/>
          <w:sz w:val="22"/>
          <w:szCs w:val="22"/>
        </w:rPr>
        <w:t>sprijin</w:t>
      </w:r>
      <w:proofErr w:type="spellEnd"/>
      <w:r w:rsidRPr="00876CEA">
        <w:rPr>
          <w:rFonts w:ascii="Trebuchet MS" w:eastAsia="MS Mincho" w:hAnsi="Trebuchet MS"/>
          <w:sz w:val="22"/>
          <w:szCs w:val="22"/>
        </w:rPr>
        <w:t>.</w:t>
      </w:r>
      <w:proofErr w:type="gramEnd"/>
    </w:p>
    <w:p w:rsidR="0084551E" w:rsidRDefault="00106DAF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>
        <w:rPr>
          <w:rFonts w:ascii="Trebuchet MS" w:eastAsia="MS Mincho" w:hAnsi="Trebuchet MS"/>
          <w:sz w:val="22"/>
          <w:szCs w:val="22"/>
        </w:rPr>
        <w:t>În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F46609">
        <w:rPr>
          <w:rFonts w:ascii="Trebuchet MS" w:eastAsia="MS Mincho" w:hAnsi="Trebuchet MS"/>
          <w:sz w:val="22"/>
          <w:szCs w:val="22"/>
        </w:rPr>
        <w:t>acest</w:t>
      </w:r>
      <w:proofErr w:type="spellEnd"/>
      <w:r w:rsidR="00F4660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F46609">
        <w:rPr>
          <w:rFonts w:ascii="Trebuchet MS" w:eastAsia="MS Mincho" w:hAnsi="Trebuchet MS"/>
          <w:sz w:val="22"/>
          <w:szCs w:val="22"/>
        </w:rPr>
        <w:t>sens</w:t>
      </w:r>
      <w:proofErr w:type="spellEnd"/>
      <w:r w:rsidR="00F46609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>
        <w:rPr>
          <w:rFonts w:ascii="Trebuchet MS" w:eastAsia="MS Mincho" w:hAnsi="Trebuchet MS"/>
          <w:sz w:val="22"/>
          <w:szCs w:val="22"/>
        </w:rPr>
        <w:t>în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fiecare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județ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au </w:t>
      </w:r>
      <w:proofErr w:type="spellStart"/>
      <w:r>
        <w:rPr>
          <w:rFonts w:ascii="Trebuchet MS" w:eastAsia="MS Mincho" w:hAnsi="Trebuchet MS"/>
          <w:sz w:val="22"/>
          <w:szCs w:val="22"/>
        </w:rPr>
        <w:t>fost</w:t>
      </w:r>
      <w:proofErr w:type="spellEnd"/>
      <w:r w:rsidR="006C7130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6C7130">
        <w:rPr>
          <w:rFonts w:ascii="Trebuchet MS" w:eastAsia="MS Mincho" w:hAnsi="Trebuchet MS"/>
          <w:sz w:val="22"/>
          <w:szCs w:val="22"/>
        </w:rPr>
        <w:t>constitui</w:t>
      </w:r>
      <w:r>
        <w:rPr>
          <w:rFonts w:ascii="Trebuchet MS" w:eastAsia="MS Mincho" w:hAnsi="Trebuchet MS"/>
          <w:sz w:val="22"/>
          <w:szCs w:val="22"/>
        </w:rPr>
        <w:t>te</w:t>
      </w:r>
      <w:proofErr w:type="spellEnd"/>
      <w:r w:rsidR="006C7130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6C7130">
        <w:rPr>
          <w:rFonts w:ascii="Trebuchet MS" w:eastAsia="MS Mincho" w:hAnsi="Trebuchet MS"/>
          <w:sz w:val="22"/>
          <w:szCs w:val="22"/>
        </w:rPr>
        <w:t>echipe</w:t>
      </w:r>
      <w:proofErr w:type="spellEnd"/>
      <w:r w:rsidR="006C7130">
        <w:rPr>
          <w:rFonts w:ascii="Trebuchet MS" w:eastAsia="MS Mincho" w:hAnsi="Trebuchet MS"/>
          <w:sz w:val="22"/>
          <w:szCs w:val="22"/>
        </w:rPr>
        <w:t xml:space="preserve"> locale de </w:t>
      </w:r>
      <w:proofErr w:type="spellStart"/>
      <w:r w:rsidR="006C7130">
        <w:rPr>
          <w:rFonts w:ascii="Trebuchet MS" w:eastAsia="MS Mincho" w:hAnsi="Trebuchet MS"/>
          <w:sz w:val="22"/>
          <w:szCs w:val="22"/>
        </w:rPr>
        <w:t>intervenție</w:t>
      </w:r>
      <w:proofErr w:type="spellEnd"/>
      <w:r w:rsidR="006C7130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formate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experți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ocupare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asistenți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sociali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consilieri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școlari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>/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mediatori</w:t>
      </w:r>
      <w:proofErr w:type="spellEnd"/>
      <w:r w:rsidR="006C7130" w:rsidRPr="006C7130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6C7130" w:rsidRPr="006C7130">
        <w:rPr>
          <w:rFonts w:ascii="Trebuchet MS" w:eastAsia="MS Mincho" w:hAnsi="Trebuchet MS"/>
          <w:sz w:val="22"/>
          <w:szCs w:val="22"/>
        </w:rPr>
        <w:t>școlari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>
        <w:rPr>
          <w:rFonts w:ascii="Trebuchet MS" w:eastAsia="MS Mincho" w:hAnsi="Trebuchet MS"/>
          <w:sz w:val="22"/>
          <w:szCs w:val="22"/>
        </w:rPr>
        <w:t>ca</w:t>
      </w:r>
      <w:r w:rsidR="00F46609">
        <w:rPr>
          <w:rFonts w:ascii="Trebuchet MS" w:eastAsia="MS Mincho" w:hAnsi="Trebuchet MS"/>
          <w:sz w:val="22"/>
          <w:szCs w:val="22"/>
        </w:rPr>
        <w:t>re</w:t>
      </w:r>
      <w:proofErr w:type="spellEnd"/>
      <w:r w:rsidR="00F46609">
        <w:rPr>
          <w:rFonts w:ascii="Trebuchet MS" w:eastAsia="MS Mincho" w:hAnsi="Trebuchet MS"/>
          <w:sz w:val="22"/>
          <w:szCs w:val="22"/>
        </w:rPr>
        <w:t xml:space="preserve"> au </w:t>
      </w:r>
      <w:proofErr w:type="spellStart"/>
      <w:r w:rsidR="00F46609">
        <w:rPr>
          <w:rFonts w:ascii="Trebuchet MS" w:eastAsia="MS Mincho" w:hAnsi="Trebuchet MS"/>
          <w:sz w:val="22"/>
          <w:szCs w:val="22"/>
        </w:rPr>
        <w:t>rolul</w:t>
      </w:r>
      <w:proofErr w:type="spellEnd"/>
      <w:r w:rsidR="00F46609">
        <w:rPr>
          <w:rFonts w:ascii="Trebuchet MS" w:eastAsia="MS Mincho" w:hAnsi="Trebuchet MS"/>
          <w:sz w:val="22"/>
          <w:szCs w:val="22"/>
        </w:rPr>
        <w:t xml:space="preserve"> de a </w:t>
      </w:r>
      <w:proofErr w:type="spellStart"/>
      <w:r w:rsidR="00F46609">
        <w:rPr>
          <w:rFonts w:ascii="Trebuchet MS" w:eastAsia="MS Mincho" w:hAnsi="Trebuchet MS"/>
          <w:sz w:val="22"/>
          <w:szCs w:val="22"/>
        </w:rPr>
        <w:t>sprijini</w:t>
      </w:r>
      <w:proofErr w:type="spellEnd"/>
      <w:r w:rsidR="00F4660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F46609">
        <w:rPr>
          <w:rFonts w:ascii="Trebuchet MS" w:eastAsia="MS Mincho" w:hAnsi="Trebuchet MS"/>
          <w:sz w:val="22"/>
          <w:szCs w:val="22"/>
        </w:rPr>
        <w:t>tinerii</w:t>
      </w:r>
      <w:proofErr w:type="spellEnd"/>
      <w:r w:rsidR="003B775B">
        <w:rPr>
          <w:rFonts w:ascii="Trebuchet MS" w:eastAsia="MS Mincho" w:hAnsi="Trebuchet MS"/>
          <w:sz w:val="22"/>
          <w:szCs w:val="22"/>
        </w:rPr>
        <w:t xml:space="preserve"> NEET</w:t>
      </w:r>
      <w:r w:rsidR="00F46609">
        <w:rPr>
          <w:rFonts w:ascii="Trebuchet MS" w:eastAsia="MS Mincho" w:hAnsi="Trebuchet MS"/>
          <w:sz w:val="22"/>
          <w:szCs w:val="22"/>
        </w:rPr>
        <w:t>s</w:t>
      </w:r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în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funcție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r w:rsidR="00F46609">
        <w:rPr>
          <w:rFonts w:ascii="Trebuchet MS" w:eastAsia="MS Mincho" w:hAnsi="Trebuchet MS"/>
          <w:sz w:val="22"/>
          <w:szCs w:val="22"/>
        </w:rPr>
        <w:t xml:space="preserve">de </w:t>
      </w:r>
      <w:proofErr w:type="spellStart"/>
      <w:r w:rsidR="00F46609">
        <w:rPr>
          <w:rFonts w:ascii="Trebuchet MS" w:eastAsia="MS Mincho" w:hAnsi="Trebuchet MS"/>
          <w:sz w:val="22"/>
          <w:szCs w:val="22"/>
        </w:rPr>
        <w:t>nevoile</w:t>
      </w:r>
      <w:proofErr w:type="spellEnd"/>
      <w:r w:rsidR="00F46609">
        <w:rPr>
          <w:rFonts w:ascii="Trebuchet MS" w:eastAsia="MS Mincho" w:hAnsi="Trebuchet MS"/>
          <w:sz w:val="22"/>
          <w:szCs w:val="22"/>
        </w:rPr>
        <w:t xml:space="preserve"> concrete ale </w:t>
      </w:r>
      <w:proofErr w:type="spellStart"/>
      <w:r w:rsidR="00F46609">
        <w:rPr>
          <w:rFonts w:ascii="Trebuchet MS" w:eastAsia="MS Mincho" w:hAnsi="Trebuchet MS"/>
          <w:sz w:val="22"/>
          <w:szCs w:val="22"/>
        </w:rPr>
        <w:t>acestora</w:t>
      </w:r>
      <w:proofErr w:type="spellEnd"/>
      <w:r>
        <w:rPr>
          <w:rFonts w:ascii="Trebuchet MS" w:eastAsia="MS Mincho" w:hAnsi="Trebuchet MS"/>
          <w:sz w:val="22"/>
          <w:szCs w:val="22"/>
        </w:rPr>
        <w:t>.</w:t>
      </w:r>
    </w:p>
    <w:p w:rsidR="00E56EC9" w:rsidRDefault="00E56EC9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>
        <w:rPr>
          <w:rFonts w:ascii="Trebuchet MS" w:eastAsia="MS Mincho" w:hAnsi="Trebuchet MS"/>
          <w:sz w:val="22"/>
          <w:szCs w:val="22"/>
        </w:rPr>
        <w:t>Pentru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facilitarea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interacțiunii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cu </w:t>
      </w:r>
      <w:proofErr w:type="spellStart"/>
      <w:r>
        <w:rPr>
          <w:rFonts w:ascii="Trebuchet MS" w:eastAsia="MS Mincho" w:hAnsi="Trebuchet MS"/>
          <w:sz w:val="22"/>
          <w:szCs w:val="22"/>
        </w:rPr>
        <w:t>experții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>
        <w:rPr>
          <w:rFonts w:ascii="Trebuchet MS" w:eastAsia="MS Mincho" w:hAnsi="Trebuchet MS"/>
          <w:sz w:val="22"/>
          <w:szCs w:val="22"/>
        </w:rPr>
        <w:t>ocupare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>
        <w:rPr>
          <w:rFonts w:ascii="Trebuchet MS" w:eastAsia="MS Mincho" w:hAnsi="Trebuchet MS"/>
          <w:sz w:val="22"/>
          <w:szCs w:val="22"/>
        </w:rPr>
        <w:t>cadrul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acestor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echipe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>
        <w:rPr>
          <w:rFonts w:ascii="Trebuchet MS" w:eastAsia="MS Mincho" w:hAnsi="Trebuchet MS"/>
          <w:sz w:val="22"/>
          <w:szCs w:val="22"/>
        </w:rPr>
        <w:t>Agenția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Națională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pentru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Ocuparea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Forței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>
        <w:rPr>
          <w:rFonts w:ascii="Trebuchet MS" w:eastAsia="MS Mincho" w:hAnsi="Trebuchet MS"/>
          <w:sz w:val="22"/>
          <w:szCs w:val="22"/>
        </w:rPr>
        <w:t>Muncă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>
        <w:rPr>
          <w:rFonts w:ascii="Trebuchet MS" w:eastAsia="MS Mincho" w:hAnsi="Trebuchet MS"/>
          <w:sz w:val="22"/>
          <w:szCs w:val="22"/>
        </w:rPr>
        <w:t>alocat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fiecare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județ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, </w:t>
      </w:r>
      <w:r>
        <w:rPr>
          <w:rFonts w:ascii="Trebuchet MS" w:eastAsia="MS Mincho" w:hAnsi="Trebuchet MS"/>
          <w:sz w:val="22"/>
          <w:szCs w:val="22"/>
        </w:rPr>
        <w:t xml:space="preserve">un </w:t>
      </w:r>
      <w:proofErr w:type="spellStart"/>
      <w:r>
        <w:rPr>
          <w:rFonts w:ascii="Trebuchet MS" w:eastAsia="MS Mincho" w:hAnsi="Trebuchet MS"/>
          <w:sz w:val="22"/>
          <w:szCs w:val="22"/>
        </w:rPr>
        <w:t>număr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>
        <w:rPr>
          <w:rFonts w:ascii="Trebuchet MS" w:eastAsia="MS Mincho" w:hAnsi="Trebuchet MS"/>
          <w:sz w:val="22"/>
          <w:szCs w:val="22"/>
        </w:rPr>
        <w:t>telefon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special, </w:t>
      </w:r>
      <w:proofErr w:type="spellStart"/>
      <w:r>
        <w:rPr>
          <w:rFonts w:ascii="Trebuchet MS" w:eastAsia="MS Mincho" w:hAnsi="Trebuchet MS"/>
          <w:sz w:val="22"/>
          <w:szCs w:val="22"/>
        </w:rPr>
        <w:t>destinat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tinerilor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cu </w:t>
      </w:r>
      <w:proofErr w:type="spellStart"/>
      <w:r>
        <w:rPr>
          <w:rFonts w:ascii="Trebuchet MS" w:eastAsia="MS Mincho" w:hAnsi="Trebuchet MS"/>
          <w:sz w:val="22"/>
          <w:szCs w:val="22"/>
        </w:rPr>
        <w:t>vârsta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între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16 </w:t>
      </w:r>
      <w:proofErr w:type="spellStart"/>
      <w:r>
        <w:rPr>
          <w:rFonts w:ascii="Trebuchet MS" w:eastAsia="MS Mincho" w:hAnsi="Trebuchet MS"/>
          <w:sz w:val="22"/>
          <w:szCs w:val="22"/>
        </w:rPr>
        <w:t>și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25 de </w:t>
      </w:r>
      <w:proofErr w:type="spellStart"/>
      <w:r>
        <w:rPr>
          <w:rFonts w:ascii="Trebuchet MS" w:eastAsia="MS Mincho" w:hAnsi="Trebuchet MS"/>
          <w:sz w:val="22"/>
          <w:szCs w:val="22"/>
        </w:rPr>
        <w:t>ani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, </w:t>
      </w:r>
      <w:r w:rsidRPr="00E56EC9">
        <w:rPr>
          <w:rFonts w:ascii="Trebuchet MS" w:eastAsia="MS Mincho" w:hAnsi="Trebuchet MS"/>
          <w:sz w:val="22"/>
          <w:szCs w:val="22"/>
        </w:rPr>
        <w:t xml:space="preserve">care nu au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loc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muncă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, nu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urmează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o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formă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învățământ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nu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participă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activități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formare</w:t>
      </w:r>
      <w:proofErr w:type="spellEnd"/>
      <w:r w:rsidRPr="00E56EC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E56EC9">
        <w:rPr>
          <w:rFonts w:ascii="Trebuchet MS" w:eastAsia="MS Mincho" w:hAnsi="Trebuchet MS"/>
          <w:sz w:val="22"/>
          <w:szCs w:val="22"/>
        </w:rPr>
        <w:t>profesională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. </w:t>
      </w:r>
    </w:p>
    <w:p w:rsidR="00FC1289" w:rsidRPr="00CC5B6B" w:rsidRDefault="00FC1289" w:rsidP="00153939">
      <w:pPr>
        <w:spacing w:after="120" w:line="276" w:lineRule="auto"/>
        <w:jc w:val="both"/>
        <w:rPr>
          <w:rFonts w:ascii="Trebuchet MS" w:eastAsia="MS Mincho" w:hAnsi="Trebuchet MS"/>
          <w:sz w:val="32"/>
          <w:szCs w:val="32"/>
        </w:rPr>
      </w:pPr>
      <w:r w:rsidRPr="00FC1289">
        <w:rPr>
          <w:rFonts w:ascii="Trebuchet MS" w:eastAsia="MS Mincho" w:hAnsi="Trebuchet MS"/>
          <w:sz w:val="22"/>
          <w:szCs w:val="22"/>
        </w:rPr>
        <w:t>Car</w:t>
      </w:r>
      <w:r>
        <w:rPr>
          <w:rFonts w:ascii="Trebuchet MS" w:eastAsia="MS Mincho" w:hAnsi="Trebuchet MS"/>
          <w:sz w:val="22"/>
          <w:szCs w:val="22"/>
        </w:rPr>
        <w:t xml:space="preserve">e </w:t>
      </w:r>
      <w:proofErr w:type="spellStart"/>
      <w:r>
        <w:rPr>
          <w:rFonts w:ascii="Trebuchet MS" w:eastAsia="MS Mincho" w:hAnsi="Trebuchet MS"/>
          <w:sz w:val="22"/>
          <w:szCs w:val="22"/>
        </w:rPr>
        <w:t>sunt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avantajele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pe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care le po</w:t>
      </w:r>
      <w:r w:rsidRPr="00FC1289">
        <w:rPr>
          <w:rFonts w:ascii="Trebuchet MS" w:eastAsia="MS Mincho" w:hAnsi="Trebuchet MS"/>
          <w:sz w:val="22"/>
          <w:szCs w:val="22"/>
        </w:rPr>
        <w:t xml:space="preserve">t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obține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dacă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se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înregistrează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la SPO, care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sunt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pașii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pe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care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trebuie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să-i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parcurgă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înregistrare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ce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acțiuni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se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vor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derula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apropiere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câ</w:t>
      </w:r>
      <w:r w:rsidR="00914DE4">
        <w:rPr>
          <w:rFonts w:ascii="Trebuchet MS" w:eastAsia="MS Mincho" w:hAnsi="Trebuchet MS"/>
          <w:sz w:val="22"/>
          <w:szCs w:val="22"/>
        </w:rPr>
        <w:t>nd</w:t>
      </w:r>
      <w:proofErr w:type="spellEnd"/>
      <w:r w:rsidR="00914DE4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914DE4">
        <w:rPr>
          <w:rFonts w:ascii="Trebuchet MS" w:eastAsia="MS Mincho" w:hAnsi="Trebuchet MS"/>
          <w:sz w:val="22"/>
          <w:szCs w:val="22"/>
        </w:rPr>
        <w:t>vor</w:t>
      </w:r>
      <w:proofErr w:type="spellEnd"/>
      <w:r w:rsidR="00914DE4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914DE4">
        <w:rPr>
          <w:rFonts w:ascii="Trebuchet MS" w:eastAsia="MS Mincho" w:hAnsi="Trebuchet MS"/>
          <w:sz w:val="22"/>
          <w:szCs w:val="22"/>
        </w:rPr>
        <w:t>avea</w:t>
      </w:r>
      <w:proofErr w:type="spellEnd"/>
      <w:r w:rsidR="00914DE4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914DE4">
        <w:rPr>
          <w:rFonts w:ascii="Trebuchet MS" w:eastAsia="MS Mincho" w:hAnsi="Trebuchet MS"/>
          <w:sz w:val="22"/>
          <w:szCs w:val="22"/>
        </w:rPr>
        <w:t>loc</w:t>
      </w:r>
      <w:proofErr w:type="spellEnd"/>
      <w:r w:rsidR="00914DE4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914DE4">
        <w:rPr>
          <w:rFonts w:ascii="Trebuchet MS" w:eastAsia="MS Mincho" w:hAnsi="Trebuchet MS"/>
          <w:sz w:val="22"/>
          <w:szCs w:val="22"/>
        </w:rPr>
        <w:t>acestea</w:t>
      </w:r>
      <w:proofErr w:type="spellEnd"/>
      <w:r w:rsidR="00914DE4">
        <w:rPr>
          <w:rFonts w:ascii="Trebuchet MS" w:eastAsia="MS Mincho" w:hAnsi="Trebuchet MS"/>
          <w:sz w:val="22"/>
          <w:szCs w:val="22"/>
        </w:rPr>
        <w:t>, cum po</w:t>
      </w:r>
      <w:r w:rsidRPr="00FC1289">
        <w:rPr>
          <w:rFonts w:ascii="Trebuchet MS" w:eastAsia="MS Mincho" w:hAnsi="Trebuchet MS"/>
          <w:sz w:val="22"/>
          <w:szCs w:val="22"/>
        </w:rPr>
        <w:t xml:space="preserve">t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participa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sunt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doar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câteva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dintre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informațiile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pe</w:t>
      </w:r>
      <w:proofErr w:type="spellEnd"/>
      <w:r w:rsidRPr="00FC1289">
        <w:rPr>
          <w:rFonts w:ascii="Trebuchet MS" w:eastAsia="MS Mincho" w:hAnsi="Trebuchet MS"/>
          <w:sz w:val="22"/>
          <w:szCs w:val="22"/>
        </w:rPr>
        <w:t xml:space="preserve"> care le pot </w:t>
      </w:r>
      <w:proofErr w:type="spellStart"/>
      <w:r w:rsidRPr="00FC1289">
        <w:rPr>
          <w:rFonts w:ascii="Trebuchet MS" w:eastAsia="MS Mincho" w:hAnsi="Trebuchet MS"/>
          <w:sz w:val="22"/>
          <w:szCs w:val="22"/>
        </w:rPr>
        <w:t>obține</w:t>
      </w:r>
      <w:proofErr w:type="spellEnd"/>
      <w:r w:rsidR="003331AE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3331AE">
        <w:rPr>
          <w:rFonts w:ascii="Trebuchet MS" w:eastAsia="MS Mincho" w:hAnsi="Trebuchet MS"/>
          <w:sz w:val="22"/>
          <w:szCs w:val="22"/>
        </w:rPr>
        <w:t>tinerii</w:t>
      </w:r>
      <w:proofErr w:type="spellEnd"/>
      <w:r w:rsidR="003331AE"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 w:rsidR="003331AE">
        <w:rPr>
          <w:rFonts w:ascii="Trebuchet MS" w:eastAsia="MS Mincho" w:hAnsi="Trebuchet MS"/>
          <w:sz w:val="22"/>
          <w:szCs w:val="22"/>
        </w:rPr>
        <w:t>județ</w:t>
      </w:r>
      <w:r w:rsidR="000B6954">
        <w:rPr>
          <w:rFonts w:ascii="Trebuchet MS" w:eastAsia="MS Mincho" w:hAnsi="Trebuchet MS"/>
          <w:sz w:val="22"/>
          <w:szCs w:val="22"/>
        </w:rPr>
        <w:t>ul</w:t>
      </w:r>
      <w:proofErr w:type="spellEnd"/>
      <w:r w:rsidR="000B6954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7C776C">
        <w:rPr>
          <w:rFonts w:ascii="Trebuchet MS" w:eastAsia="MS Mincho" w:hAnsi="Trebuchet MS"/>
          <w:sz w:val="22"/>
          <w:szCs w:val="22"/>
        </w:rPr>
        <w:t>Brăila</w:t>
      </w:r>
      <w:proofErr w:type="spellEnd"/>
      <w:r w:rsidR="00914DE4">
        <w:rPr>
          <w:rFonts w:ascii="Trebuchet MS" w:eastAsia="MS Mincho" w:hAnsi="Trebuchet MS"/>
          <w:sz w:val="22"/>
          <w:szCs w:val="22"/>
        </w:rPr>
        <w:t>,</w:t>
      </w:r>
      <w:r w:rsidRPr="00FC1289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apelând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r w:rsidRPr="00031E74">
        <w:rPr>
          <w:rFonts w:ascii="Trebuchet MS" w:eastAsia="MS Mincho" w:hAnsi="Trebuchet MS"/>
          <w:sz w:val="32"/>
          <w:szCs w:val="32"/>
        </w:rPr>
        <w:t>0771.363.</w:t>
      </w:r>
      <w:r w:rsidR="00032E3D">
        <w:rPr>
          <w:rFonts w:ascii="Trebuchet MS" w:eastAsia="MS Mincho" w:hAnsi="Trebuchet MS"/>
          <w:sz w:val="32"/>
          <w:szCs w:val="32"/>
        </w:rPr>
        <w:t>4</w:t>
      </w:r>
      <w:r w:rsidR="007C776C">
        <w:rPr>
          <w:rFonts w:ascii="Trebuchet MS" w:eastAsia="MS Mincho" w:hAnsi="Trebuchet MS"/>
          <w:sz w:val="32"/>
          <w:szCs w:val="32"/>
        </w:rPr>
        <w:t>30</w:t>
      </w:r>
      <w:r w:rsidR="00F00B9B">
        <w:rPr>
          <w:rFonts w:ascii="Trebuchet MS" w:eastAsia="MS Mincho" w:hAnsi="Trebuchet MS"/>
          <w:sz w:val="22"/>
          <w:szCs w:val="22"/>
        </w:rPr>
        <w:t xml:space="preserve"> (</w:t>
      </w:r>
      <w:proofErr w:type="spellStart"/>
      <w:r w:rsidR="00F00B9B">
        <w:rPr>
          <w:rFonts w:ascii="Trebuchet MS" w:eastAsia="MS Mincho" w:hAnsi="Trebuchet MS"/>
          <w:sz w:val="22"/>
          <w:szCs w:val="22"/>
        </w:rPr>
        <w:t>experți</w:t>
      </w:r>
      <w:proofErr w:type="spellEnd"/>
      <w:r w:rsidR="00F00B9B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="00F00B9B">
        <w:rPr>
          <w:rFonts w:ascii="Trebuchet MS" w:eastAsia="MS Mincho" w:hAnsi="Trebuchet MS"/>
          <w:sz w:val="22"/>
          <w:szCs w:val="22"/>
        </w:rPr>
        <w:t>ocupare</w:t>
      </w:r>
      <w:proofErr w:type="spellEnd"/>
      <w:r w:rsidR="00F00B9B">
        <w:rPr>
          <w:rFonts w:ascii="Trebuchet MS" w:eastAsia="MS Mincho" w:hAnsi="Trebuchet MS"/>
          <w:sz w:val="22"/>
          <w:szCs w:val="22"/>
        </w:rPr>
        <w:t>:</w:t>
      </w:r>
      <w:r w:rsidR="00F00B9B" w:rsidRPr="00F00B9B">
        <w:t xml:space="preserve"> </w:t>
      </w:r>
      <w:proofErr w:type="spellStart"/>
      <w:r w:rsidR="00F00B9B" w:rsidRPr="00F00B9B">
        <w:rPr>
          <w:rFonts w:ascii="Trebuchet MS" w:eastAsia="MS Mincho" w:hAnsi="Trebuchet MS"/>
          <w:sz w:val="22"/>
          <w:szCs w:val="22"/>
        </w:rPr>
        <w:t>dna</w:t>
      </w:r>
      <w:proofErr w:type="spellEnd"/>
      <w:r w:rsidR="00F00B9B" w:rsidRPr="00F00B9B">
        <w:rPr>
          <w:rFonts w:ascii="Trebuchet MS" w:eastAsia="MS Mincho" w:hAnsi="Trebuchet MS"/>
          <w:sz w:val="22"/>
          <w:szCs w:val="22"/>
        </w:rPr>
        <w:t xml:space="preserve">. </w:t>
      </w:r>
      <w:proofErr w:type="spellStart"/>
      <w:r w:rsidR="00032E3D">
        <w:rPr>
          <w:rFonts w:ascii="Trebuchet MS" w:eastAsia="MS Mincho" w:hAnsi="Trebuchet MS"/>
          <w:sz w:val="22"/>
          <w:szCs w:val="22"/>
        </w:rPr>
        <w:t>Mihaela</w:t>
      </w:r>
      <w:proofErr w:type="spellEnd"/>
      <w:r w:rsidR="00032E3D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7C776C">
        <w:rPr>
          <w:rFonts w:ascii="Trebuchet MS" w:eastAsia="MS Mincho" w:hAnsi="Trebuchet MS"/>
          <w:sz w:val="22"/>
          <w:szCs w:val="22"/>
        </w:rPr>
        <w:t>Răileanu</w:t>
      </w:r>
      <w:proofErr w:type="spellEnd"/>
      <w:r w:rsidR="000B6954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B6954">
        <w:rPr>
          <w:rFonts w:ascii="Trebuchet MS" w:eastAsia="MS Mincho" w:hAnsi="Trebuchet MS"/>
          <w:sz w:val="22"/>
          <w:szCs w:val="22"/>
        </w:rPr>
        <w:t>și</w:t>
      </w:r>
      <w:proofErr w:type="spellEnd"/>
      <w:r w:rsidR="000B6954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proofErr w:type="gramStart"/>
      <w:r w:rsidR="000B6954">
        <w:rPr>
          <w:rFonts w:ascii="Trebuchet MS" w:eastAsia="MS Mincho" w:hAnsi="Trebuchet MS"/>
          <w:sz w:val="22"/>
          <w:szCs w:val="22"/>
        </w:rPr>
        <w:t>d</w:t>
      </w:r>
      <w:r w:rsidR="00032E3D">
        <w:rPr>
          <w:rFonts w:ascii="Trebuchet MS" w:eastAsia="MS Mincho" w:hAnsi="Trebuchet MS"/>
          <w:sz w:val="22"/>
          <w:szCs w:val="22"/>
        </w:rPr>
        <w:t>na</w:t>
      </w:r>
      <w:proofErr w:type="spellEnd"/>
      <w:proofErr w:type="gramEnd"/>
      <w:r w:rsidR="00F00B9B" w:rsidRPr="00F00B9B">
        <w:rPr>
          <w:rFonts w:ascii="Trebuchet MS" w:eastAsia="MS Mincho" w:hAnsi="Trebuchet MS"/>
          <w:sz w:val="22"/>
          <w:szCs w:val="22"/>
        </w:rPr>
        <w:t xml:space="preserve">. </w:t>
      </w:r>
      <w:r w:rsidR="00032E3D">
        <w:rPr>
          <w:rFonts w:ascii="Trebuchet MS" w:eastAsia="MS Mincho" w:hAnsi="Trebuchet MS"/>
          <w:sz w:val="22"/>
          <w:szCs w:val="22"/>
        </w:rPr>
        <w:t>Maria</w:t>
      </w:r>
      <w:r w:rsidR="007C776C">
        <w:rPr>
          <w:rFonts w:ascii="Trebuchet MS" w:eastAsia="MS Mincho" w:hAnsi="Trebuchet MS"/>
          <w:sz w:val="22"/>
          <w:szCs w:val="22"/>
        </w:rPr>
        <w:t xml:space="preserve">na </w:t>
      </w:r>
      <w:proofErr w:type="spellStart"/>
      <w:r w:rsidR="007C776C">
        <w:rPr>
          <w:rFonts w:ascii="Trebuchet MS" w:eastAsia="MS Mincho" w:hAnsi="Trebuchet MS"/>
          <w:sz w:val="22"/>
          <w:szCs w:val="22"/>
        </w:rPr>
        <w:t>Nuțu</w:t>
      </w:r>
      <w:proofErr w:type="spellEnd"/>
      <w:r w:rsidR="00F00B9B">
        <w:rPr>
          <w:rFonts w:ascii="Trebuchet MS" w:eastAsia="MS Mincho" w:hAnsi="Trebuchet MS"/>
          <w:sz w:val="22"/>
          <w:szCs w:val="22"/>
        </w:rPr>
        <w:t xml:space="preserve">). </w:t>
      </w:r>
    </w:p>
    <w:p w:rsidR="00FC1289" w:rsidRDefault="003552B2" w:rsidP="00153939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proofErr w:type="gramStart"/>
      <w:r>
        <w:rPr>
          <w:rFonts w:ascii="Trebuchet MS" w:eastAsia="MS Mincho" w:hAnsi="Trebuchet MS"/>
          <w:sz w:val="22"/>
          <w:szCs w:val="22"/>
        </w:rPr>
        <w:t>Accesând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hyperlink r:id="rId9" w:history="1">
        <w:r w:rsidRPr="003159BB">
          <w:rPr>
            <w:rStyle w:val="Hyperlink"/>
            <w:rFonts w:ascii="Trebuchet MS" w:eastAsia="MS Mincho" w:hAnsi="Trebuchet MS"/>
            <w:sz w:val="22"/>
            <w:szCs w:val="22"/>
          </w:rPr>
          <w:t>http://www.anofm.ro/files/Date%20de%20contact%20experti%20ELI.pdf</w:t>
        </w:r>
      </w:hyperlink>
      <w:r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>
        <w:rPr>
          <w:rFonts w:ascii="Trebuchet MS" w:eastAsia="MS Mincho" w:hAnsi="Trebuchet MS"/>
          <w:sz w:val="22"/>
          <w:szCs w:val="22"/>
        </w:rPr>
        <w:t>persoanele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interesate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pot </w:t>
      </w:r>
      <w:proofErr w:type="spellStart"/>
      <w:r>
        <w:rPr>
          <w:rFonts w:ascii="Trebuchet MS" w:eastAsia="MS Mincho" w:hAnsi="Trebuchet MS"/>
          <w:sz w:val="22"/>
          <w:szCs w:val="22"/>
        </w:rPr>
        <w:t>vizualiza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datele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de contact ale </w:t>
      </w:r>
      <w:proofErr w:type="spellStart"/>
      <w:r>
        <w:rPr>
          <w:rFonts w:ascii="Trebuchet MS" w:eastAsia="MS Mincho" w:hAnsi="Trebuchet MS"/>
          <w:sz w:val="22"/>
          <w:szCs w:val="22"/>
        </w:rPr>
        <w:t>experților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>
        <w:rPr>
          <w:rFonts w:ascii="Trebuchet MS" w:eastAsia="MS Mincho" w:hAnsi="Trebuchet MS"/>
          <w:sz w:val="22"/>
          <w:szCs w:val="22"/>
        </w:rPr>
        <w:t>ocupare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>
        <w:rPr>
          <w:rFonts w:ascii="Trebuchet MS" w:eastAsia="MS Mincho" w:hAnsi="Trebuchet MS"/>
          <w:sz w:val="22"/>
          <w:szCs w:val="22"/>
        </w:rPr>
        <w:t>echipele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locale de </w:t>
      </w:r>
      <w:proofErr w:type="spellStart"/>
      <w:r>
        <w:rPr>
          <w:rFonts w:ascii="Trebuchet MS" w:eastAsia="MS Mincho" w:hAnsi="Trebuchet MS"/>
          <w:sz w:val="22"/>
          <w:szCs w:val="22"/>
        </w:rPr>
        <w:t>intervenție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constituite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>
        <w:rPr>
          <w:rFonts w:ascii="Trebuchet MS" w:eastAsia="MS Mincho" w:hAnsi="Trebuchet MS"/>
          <w:sz w:val="22"/>
          <w:szCs w:val="22"/>
        </w:rPr>
        <w:t>nivelul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MS Mincho" w:hAnsi="Trebuchet MS"/>
          <w:sz w:val="22"/>
          <w:szCs w:val="22"/>
        </w:rPr>
        <w:t>tuturor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agențiilor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teritoriale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ocuparea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forței</w:t>
      </w:r>
      <w:proofErr w:type="spellEnd"/>
      <w:r w:rsidR="000172C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="000172C8">
        <w:rPr>
          <w:rFonts w:ascii="Trebuchet MS" w:eastAsia="MS Mincho" w:hAnsi="Trebuchet MS"/>
          <w:sz w:val="22"/>
          <w:szCs w:val="22"/>
        </w:rPr>
        <w:t>muncă</w:t>
      </w:r>
      <w:proofErr w:type="spellEnd"/>
      <w:r>
        <w:rPr>
          <w:rFonts w:ascii="Trebuchet MS" w:eastAsia="MS Mincho" w:hAnsi="Trebuchet MS"/>
          <w:sz w:val="22"/>
          <w:szCs w:val="22"/>
        </w:rPr>
        <w:t>.</w:t>
      </w:r>
      <w:proofErr w:type="gramEnd"/>
      <w:r>
        <w:rPr>
          <w:rFonts w:ascii="Trebuchet MS" w:eastAsia="MS Mincho" w:hAnsi="Trebuchet MS"/>
          <w:sz w:val="22"/>
          <w:szCs w:val="22"/>
        </w:rPr>
        <w:t xml:space="preserve"> </w:t>
      </w:r>
    </w:p>
    <w:p w:rsidR="003552B2" w:rsidRPr="003552B2" w:rsidRDefault="003552B2" w:rsidP="003552B2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552B2">
        <w:rPr>
          <w:rFonts w:ascii="Trebuchet MS" w:eastAsia="MS Mincho" w:hAnsi="Trebuchet MS"/>
          <w:sz w:val="22"/>
          <w:szCs w:val="22"/>
        </w:rPr>
        <w:t>Proiectul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r w:rsidRPr="003331AE">
        <w:rPr>
          <w:rFonts w:ascii="Trebuchet MS" w:eastAsia="MS Mincho" w:hAnsi="Trebuchet MS"/>
          <w:i/>
          <w:sz w:val="22"/>
          <w:szCs w:val="22"/>
        </w:rPr>
        <w:t xml:space="preserve">INTESPO – </w:t>
      </w:r>
      <w:proofErr w:type="spellStart"/>
      <w:r w:rsidRPr="003331AE">
        <w:rPr>
          <w:rFonts w:ascii="Trebuchet MS" w:eastAsia="MS Mincho" w:hAnsi="Trebuchet MS"/>
          <w:i/>
          <w:sz w:val="22"/>
          <w:szCs w:val="22"/>
        </w:rPr>
        <w:t>Înregistrarea</w:t>
      </w:r>
      <w:proofErr w:type="spellEnd"/>
      <w:r w:rsidRPr="003331AE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="003331AE" w:rsidRPr="003331AE">
        <w:rPr>
          <w:rFonts w:ascii="Trebuchet MS" w:eastAsia="MS Mincho" w:hAnsi="Trebuchet MS"/>
          <w:i/>
          <w:sz w:val="22"/>
          <w:szCs w:val="22"/>
        </w:rPr>
        <w:t>T</w:t>
      </w:r>
      <w:r w:rsidRPr="003331AE">
        <w:rPr>
          <w:rFonts w:ascii="Trebuchet MS" w:eastAsia="MS Mincho" w:hAnsi="Trebuchet MS"/>
          <w:i/>
          <w:sz w:val="22"/>
          <w:szCs w:val="22"/>
        </w:rPr>
        <w:t>inerilor</w:t>
      </w:r>
      <w:proofErr w:type="spellEnd"/>
      <w:r w:rsidRPr="003331AE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Pr="003331AE">
        <w:rPr>
          <w:rFonts w:ascii="Trebuchet MS" w:eastAsia="MS Mincho" w:hAnsi="Trebuchet MS"/>
          <w:i/>
          <w:sz w:val="22"/>
          <w:szCs w:val="22"/>
        </w:rPr>
        <w:t>în</w:t>
      </w:r>
      <w:proofErr w:type="spellEnd"/>
      <w:r w:rsidRPr="003331AE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="003331AE" w:rsidRPr="003331AE">
        <w:rPr>
          <w:rFonts w:ascii="Trebuchet MS" w:eastAsia="MS Mincho" w:hAnsi="Trebuchet MS"/>
          <w:i/>
          <w:sz w:val="22"/>
          <w:szCs w:val="22"/>
        </w:rPr>
        <w:t>E</w:t>
      </w:r>
      <w:r w:rsidRPr="003331AE">
        <w:rPr>
          <w:rFonts w:ascii="Trebuchet MS" w:eastAsia="MS Mincho" w:hAnsi="Trebuchet MS"/>
          <w:i/>
          <w:sz w:val="22"/>
          <w:szCs w:val="22"/>
        </w:rPr>
        <w:t>vidențele</w:t>
      </w:r>
      <w:proofErr w:type="spellEnd"/>
      <w:r w:rsidRPr="003331AE">
        <w:rPr>
          <w:rFonts w:ascii="Trebuchet MS" w:eastAsia="MS Mincho" w:hAnsi="Trebuchet MS"/>
          <w:i/>
          <w:sz w:val="22"/>
          <w:szCs w:val="22"/>
        </w:rPr>
        <w:t xml:space="preserve"> </w:t>
      </w:r>
      <w:proofErr w:type="spellStart"/>
      <w:r w:rsidRPr="003331AE">
        <w:rPr>
          <w:rFonts w:ascii="Trebuchet MS" w:eastAsia="MS Mincho" w:hAnsi="Trebuchet MS"/>
          <w:i/>
          <w:sz w:val="22"/>
          <w:szCs w:val="22"/>
        </w:rPr>
        <w:t>Serviciului</w:t>
      </w:r>
      <w:proofErr w:type="spellEnd"/>
      <w:r w:rsidRPr="003331AE">
        <w:rPr>
          <w:rFonts w:ascii="Trebuchet MS" w:eastAsia="MS Mincho" w:hAnsi="Trebuchet MS"/>
          <w:i/>
          <w:sz w:val="22"/>
          <w:szCs w:val="22"/>
        </w:rPr>
        <w:t xml:space="preserve"> Public de </w:t>
      </w:r>
      <w:proofErr w:type="spellStart"/>
      <w:r w:rsidRPr="003331AE">
        <w:rPr>
          <w:rFonts w:ascii="Trebuchet MS" w:eastAsia="MS Mincho" w:hAnsi="Trebuchet MS"/>
          <w:i/>
          <w:sz w:val="22"/>
          <w:szCs w:val="22"/>
        </w:rPr>
        <w:t>Ocupare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este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cofinanţat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prin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Programul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Operaţional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Capital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Uman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Axa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prioritară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2 –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Îmbunătăţirea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situaţiei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tinerilor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categoria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NEETs,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Obiectiv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specific 2.3 -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Creșterea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numărului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tinerilor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NEETs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inactivi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înregistrați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Serviciul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Public de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Ocupare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>.</w:t>
      </w:r>
    </w:p>
    <w:p w:rsidR="003552B2" w:rsidRPr="003552B2" w:rsidRDefault="003552B2" w:rsidP="003552B2">
      <w:pPr>
        <w:spacing w:after="120" w:line="276" w:lineRule="auto"/>
        <w:jc w:val="both"/>
        <w:rPr>
          <w:rFonts w:ascii="Trebuchet MS" w:eastAsia="MS Mincho" w:hAnsi="Trebuchet MS"/>
          <w:sz w:val="22"/>
          <w:szCs w:val="22"/>
        </w:rPr>
      </w:pPr>
    </w:p>
    <w:p w:rsidR="003552B2" w:rsidRPr="003552B2" w:rsidRDefault="007C776C" w:rsidP="000172C8">
      <w:pPr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Monica </w:t>
      </w:r>
      <w:proofErr w:type="spellStart"/>
      <w:r>
        <w:rPr>
          <w:rFonts w:ascii="Trebuchet MS" w:eastAsia="MS Mincho" w:hAnsi="Trebuchet MS"/>
          <w:sz w:val="22"/>
          <w:szCs w:val="22"/>
        </w:rPr>
        <w:t>Bratu</w:t>
      </w:r>
      <w:proofErr w:type="spellEnd"/>
    </w:p>
    <w:p w:rsidR="00E56EC9" w:rsidRDefault="003552B2" w:rsidP="00B93076">
      <w:pPr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3552B2">
        <w:rPr>
          <w:rFonts w:ascii="Trebuchet MS" w:eastAsia="MS Mincho" w:hAnsi="Trebuchet MS"/>
          <w:sz w:val="22"/>
          <w:szCs w:val="22"/>
        </w:rPr>
        <w:t xml:space="preserve">Director </w:t>
      </w:r>
      <w:proofErr w:type="spellStart"/>
      <w:r w:rsidRPr="003552B2">
        <w:rPr>
          <w:rFonts w:ascii="Trebuchet MS" w:eastAsia="MS Mincho" w:hAnsi="Trebuchet MS"/>
          <w:sz w:val="22"/>
          <w:szCs w:val="22"/>
        </w:rPr>
        <w:t>executiv</w:t>
      </w:r>
      <w:proofErr w:type="spellEnd"/>
      <w:r w:rsidRPr="003552B2">
        <w:rPr>
          <w:rFonts w:ascii="Trebuchet MS" w:eastAsia="MS Mincho" w:hAnsi="Trebuchet MS"/>
          <w:sz w:val="22"/>
          <w:szCs w:val="22"/>
        </w:rPr>
        <w:t xml:space="preserve"> AJOFM </w:t>
      </w:r>
      <w:proofErr w:type="spellStart"/>
      <w:r w:rsidR="007C776C">
        <w:rPr>
          <w:rFonts w:ascii="Trebuchet MS" w:eastAsia="MS Mincho" w:hAnsi="Trebuchet MS"/>
          <w:sz w:val="22"/>
          <w:szCs w:val="22"/>
        </w:rPr>
        <w:t>Brăila</w:t>
      </w:r>
      <w:proofErr w:type="spellEnd"/>
    </w:p>
    <w:sectPr w:rsidR="00E56EC9" w:rsidSect="00F00B9B">
      <w:headerReference w:type="default" r:id="rId10"/>
      <w:footerReference w:type="default" r:id="rId11"/>
      <w:pgSz w:w="12240" w:h="15840"/>
      <w:pgMar w:top="1008" w:right="864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7B" w:rsidRDefault="00BB517B" w:rsidP="0076217B">
      <w:r>
        <w:separator/>
      </w:r>
    </w:p>
  </w:endnote>
  <w:endnote w:type="continuationSeparator" w:id="0">
    <w:p w:rsidR="00BB517B" w:rsidRDefault="00BB517B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 w:rsidP="008C6B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76A356" wp14:editId="4764D3DD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D1C" w:rsidRDefault="00210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7B" w:rsidRDefault="00BB517B" w:rsidP="0076217B">
      <w:r>
        <w:separator/>
      </w:r>
    </w:p>
  </w:footnote>
  <w:footnote w:type="continuationSeparator" w:id="0">
    <w:p w:rsidR="00BB517B" w:rsidRDefault="00BB517B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5C6FC3" wp14:editId="4C385DE3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7C5F"/>
    <w:rsid w:val="000172C8"/>
    <w:rsid w:val="00027450"/>
    <w:rsid w:val="00031E74"/>
    <w:rsid w:val="00032E3D"/>
    <w:rsid w:val="00034C2A"/>
    <w:rsid w:val="00035393"/>
    <w:rsid w:val="00057187"/>
    <w:rsid w:val="00065946"/>
    <w:rsid w:val="00080865"/>
    <w:rsid w:val="00082026"/>
    <w:rsid w:val="00092604"/>
    <w:rsid w:val="000A0849"/>
    <w:rsid w:val="000A7E8A"/>
    <w:rsid w:val="000B6954"/>
    <w:rsid w:val="000C526D"/>
    <w:rsid w:val="000D161F"/>
    <w:rsid w:val="000F2071"/>
    <w:rsid w:val="00100095"/>
    <w:rsid w:val="001044D7"/>
    <w:rsid w:val="00106DAF"/>
    <w:rsid w:val="00110F41"/>
    <w:rsid w:val="00117CDE"/>
    <w:rsid w:val="00124FFE"/>
    <w:rsid w:val="00126806"/>
    <w:rsid w:val="001470E2"/>
    <w:rsid w:val="00153939"/>
    <w:rsid w:val="001559A1"/>
    <w:rsid w:val="001752DD"/>
    <w:rsid w:val="00183104"/>
    <w:rsid w:val="001971FD"/>
    <w:rsid w:val="001A2688"/>
    <w:rsid w:val="001B2433"/>
    <w:rsid w:val="001D6418"/>
    <w:rsid w:val="001E50F9"/>
    <w:rsid w:val="001F0760"/>
    <w:rsid w:val="001F1A03"/>
    <w:rsid w:val="001F2B16"/>
    <w:rsid w:val="002010E1"/>
    <w:rsid w:val="002063FC"/>
    <w:rsid w:val="00210D1C"/>
    <w:rsid w:val="00217231"/>
    <w:rsid w:val="00230B4B"/>
    <w:rsid w:val="00234A53"/>
    <w:rsid w:val="00236482"/>
    <w:rsid w:val="0024076E"/>
    <w:rsid w:val="0024737E"/>
    <w:rsid w:val="00254F45"/>
    <w:rsid w:val="00273ACF"/>
    <w:rsid w:val="00286F24"/>
    <w:rsid w:val="002A1877"/>
    <w:rsid w:val="002A21B5"/>
    <w:rsid w:val="002B5E80"/>
    <w:rsid w:val="002C1755"/>
    <w:rsid w:val="002C7D50"/>
    <w:rsid w:val="002D4307"/>
    <w:rsid w:val="002E0EB0"/>
    <w:rsid w:val="002E4105"/>
    <w:rsid w:val="002F59EF"/>
    <w:rsid w:val="00301341"/>
    <w:rsid w:val="0030335F"/>
    <w:rsid w:val="0030344E"/>
    <w:rsid w:val="00305E1C"/>
    <w:rsid w:val="00315ADF"/>
    <w:rsid w:val="00316BE0"/>
    <w:rsid w:val="00330CE5"/>
    <w:rsid w:val="003331AE"/>
    <w:rsid w:val="00333C71"/>
    <w:rsid w:val="00334275"/>
    <w:rsid w:val="00351861"/>
    <w:rsid w:val="003552B2"/>
    <w:rsid w:val="00367645"/>
    <w:rsid w:val="00372B91"/>
    <w:rsid w:val="0037497E"/>
    <w:rsid w:val="0038174D"/>
    <w:rsid w:val="003866E7"/>
    <w:rsid w:val="003A3D2E"/>
    <w:rsid w:val="003A4294"/>
    <w:rsid w:val="003A4886"/>
    <w:rsid w:val="003B1FB7"/>
    <w:rsid w:val="003B775B"/>
    <w:rsid w:val="003D456C"/>
    <w:rsid w:val="003D4E65"/>
    <w:rsid w:val="00404682"/>
    <w:rsid w:val="00410F14"/>
    <w:rsid w:val="0041389D"/>
    <w:rsid w:val="00415836"/>
    <w:rsid w:val="00415A8C"/>
    <w:rsid w:val="00432A6A"/>
    <w:rsid w:val="004448E0"/>
    <w:rsid w:val="004470E8"/>
    <w:rsid w:val="004623B2"/>
    <w:rsid w:val="00466758"/>
    <w:rsid w:val="004879C8"/>
    <w:rsid w:val="00493A8B"/>
    <w:rsid w:val="004A5BE1"/>
    <w:rsid w:val="004B158F"/>
    <w:rsid w:val="004B2710"/>
    <w:rsid w:val="004B7B33"/>
    <w:rsid w:val="004C0E1D"/>
    <w:rsid w:val="004C26BD"/>
    <w:rsid w:val="004D295E"/>
    <w:rsid w:val="004E0A8B"/>
    <w:rsid w:val="004E5880"/>
    <w:rsid w:val="004E5EEC"/>
    <w:rsid w:val="004E6090"/>
    <w:rsid w:val="004E6BFA"/>
    <w:rsid w:val="004F314C"/>
    <w:rsid w:val="004F68C3"/>
    <w:rsid w:val="00503171"/>
    <w:rsid w:val="005049AA"/>
    <w:rsid w:val="005154D0"/>
    <w:rsid w:val="005207D8"/>
    <w:rsid w:val="005301C2"/>
    <w:rsid w:val="0054448C"/>
    <w:rsid w:val="00552361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F2F35"/>
    <w:rsid w:val="00622B42"/>
    <w:rsid w:val="00623213"/>
    <w:rsid w:val="00626E07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E5442"/>
    <w:rsid w:val="006F62CA"/>
    <w:rsid w:val="0070507F"/>
    <w:rsid w:val="00705CF8"/>
    <w:rsid w:val="00717371"/>
    <w:rsid w:val="00720B4D"/>
    <w:rsid w:val="00724B0F"/>
    <w:rsid w:val="007417AA"/>
    <w:rsid w:val="0075676F"/>
    <w:rsid w:val="00761316"/>
    <w:rsid w:val="0076217B"/>
    <w:rsid w:val="00770BF5"/>
    <w:rsid w:val="007B3141"/>
    <w:rsid w:val="007B4D5D"/>
    <w:rsid w:val="007C6066"/>
    <w:rsid w:val="007C776C"/>
    <w:rsid w:val="007D51F1"/>
    <w:rsid w:val="007D5B78"/>
    <w:rsid w:val="007E5372"/>
    <w:rsid w:val="007E6944"/>
    <w:rsid w:val="008104AB"/>
    <w:rsid w:val="0081185A"/>
    <w:rsid w:val="00817E8B"/>
    <w:rsid w:val="008364BE"/>
    <w:rsid w:val="00844D9A"/>
    <w:rsid w:val="0084551E"/>
    <w:rsid w:val="008461D5"/>
    <w:rsid w:val="00846CE6"/>
    <w:rsid w:val="00850F98"/>
    <w:rsid w:val="00851130"/>
    <w:rsid w:val="008727D7"/>
    <w:rsid w:val="00876CEA"/>
    <w:rsid w:val="008837AD"/>
    <w:rsid w:val="008912DD"/>
    <w:rsid w:val="008A3FDB"/>
    <w:rsid w:val="008B132A"/>
    <w:rsid w:val="008C30B8"/>
    <w:rsid w:val="008C6B9D"/>
    <w:rsid w:val="008C6D20"/>
    <w:rsid w:val="008D3D7D"/>
    <w:rsid w:val="008D4872"/>
    <w:rsid w:val="008D6547"/>
    <w:rsid w:val="008D6600"/>
    <w:rsid w:val="00900C90"/>
    <w:rsid w:val="00904346"/>
    <w:rsid w:val="00907156"/>
    <w:rsid w:val="009136FF"/>
    <w:rsid w:val="00914DE4"/>
    <w:rsid w:val="00921698"/>
    <w:rsid w:val="00924010"/>
    <w:rsid w:val="00926F73"/>
    <w:rsid w:val="009341E3"/>
    <w:rsid w:val="00942BCA"/>
    <w:rsid w:val="00960FA6"/>
    <w:rsid w:val="00962675"/>
    <w:rsid w:val="009641FF"/>
    <w:rsid w:val="00974A03"/>
    <w:rsid w:val="00974FDE"/>
    <w:rsid w:val="00975B24"/>
    <w:rsid w:val="00977641"/>
    <w:rsid w:val="00980195"/>
    <w:rsid w:val="009A0560"/>
    <w:rsid w:val="009B2B95"/>
    <w:rsid w:val="009B3C78"/>
    <w:rsid w:val="009C312F"/>
    <w:rsid w:val="009C4788"/>
    <w:rsid w:val="009D1FE4"/>
    <w:rsid w:val="009E4472"/>
    <w:rsid w:val="009E4A36"/>
    <w:rsid w:val="009E5E4F"/>
    <w:rsid w:val="009F2C8B"/>
    <w:rsid w:val="00A011A9"/>
    <w:rsid w:val="00A0477F"/>
    <w:rsid w:val="00A10ACD"/>
    <w:rsid w:val="00A20279"/>
    <w:rsid w:val="00A41388"/>
    <w:rsid w:val="00A463ED"/>
    <w:rsid w:val="00A52A6D"/>
    <w:rsid w:val="00AA6795"/>
    <w:rsid w:val="00AC3AFB"/>
    <w:rsid w:val="00AC52C9"/>
    <w:rsid w:val="00AF15CB"/>
    <w:rsid w:val="00B0682E"/>
    <w:rsid w:val="00B224A7"/>
    <w:rsid w:val="00B32F21"/>
    <w:rsid w:val="00B3353F"/>
    <w:rsid w:val="00B3361F"/>
    <w:rsid w:val="00B473EA"/>
    <w:rsid w:val="00B52AFF"/>
    <w:rsid w:val="00B56B35"/>
    <w:rsid w:val="00B60743"/>
    <w:rsid w:val="00B64C9D"/>
    <w:rsid w:val="00B7571E"/>
    <w:rsid w:val="00B76505"/>
    <w:rsid w:val="00B81DB4"/>
    <w:rsid w:val="00B856AF"/>
    <w:rsid w:val="00B922A3"/>
    <w:rsid w:val="00B93076"/>
    <w:rsid w:val="00BB039E"/>
    <w:rsid w:val="00BB4EFC"/>
    <w:rsid w:val="00BB517B"/>
    <w:rsid w:val="00BB67D8"/>
    <w:rsid w:val="00BC30AB"/>
    <w:rsid w:val="00BC6160"/>
    <w:rsid w:val="00BD44AA"/>
    <w:rsid w:val="00BD5561"/>
    <w:rsid w:val="00BD5D18"/>
    <w:rsid w:val="00BE6036"/>
    <w:rsid w:val="00BF2170"/>
    <w:rsid w:val="00BF3F0D"/>
    <w:rsid w:val="00BF4F5A"/>
    <w:rsid w:val="00C048E5"/>
    <w:rsid w:val="00C1043B"/>
    <w:rsid w:val="00C2585B"/>
    <w:rsid w:val="00C262B6"/>
    <w:rsid w:val="00C27B3B"/>
    <w:rsid w:val="00C3172C"/>
    <w:rsid w:val="00C3327C"/>
    <w:rsid w:val="00C33C61"/>
    <w:rsid w:val="00C46FC7"/>
    <w:rsid w:val="00C56F0A"/>
    <w:rsid w:val="00C6303C"/>
    <w:rsid w:val="00C63960"/>
    <w:rsid w:val="00C75FEF"/>
    <w:rsid w:val="00C91D25"/>
    <w:rsid w:val="00C92A70"/>
    <w:rsid w:val="00CA774A"/>
    <w:rsid w:val="00CB144F"/>
    <w:rsid w:val="00CC5B6B"/>
    <w:rsid w:val="00CD1184"/>
    <w:rsid w:val="00CD1327"/>
    <w:rsid w:val="00CD731E"/>
    <w:rsid w:val="00CE1DE5"/>
    <w:rsid w:val="00CE7BB0"/>
    <w:rsid w:val="00CF288A"/>
    <w:rsid w:val="00D03D00"/>
    <w:rsid w:val="00D0699E"/>
    <w:rsid w:val="00D16F3B"/>
    <w:rsid w:val="00D16FF3"/>
    <w:rsid w:val="00D20B71"/>
    <w:rsid w:val="00D26B37"/>
    <w:rsid w:val="00D418A9"/>
    <w:rsid w:val="00D43B3E"/>
    <w:rsid w:val="00D45B0C"/>
    <w:rsid w:val="00D5188F"/>
    <w:rsid w:val="00D52ACD"/>
    <w:rsid w:val="00D55C0D"/>
    <w:rsid w:val="00D57A45"/>
    <w:rsid w:val="00D862D7"/>
    <w:rsid w:val="00D920D7"/>
    <w:rsid w:val="00DB2E69"/>
    <w:rsid w:val="00DC6BFA"/>
    <w:rsid w:val="00DD4061"/>
    <w:rsid w:val="00DD6B41"/>
    <w:rsid w:val="00DF1291"/>
    <w:rsid w:val="00E038AF"/>
    <w:rsid w:val="00E058F5"/>
    <w:rsid w:val="00E061ED"/>
    <w:rsid w:val="00E16097"/>
    <w:rsid w:val="00E25B6E"/>
    <w:rsid w:val="00E2702C"/>
    <w:rsid w:val="00E272F7"/>
    <w:rsid w:val="00E405B5"/>
    <w:rsid w:val="00E410C8"/>
    <w:rsid w:val="00E42603"/>
    <w:rsid w:val="00E4266E"/>
    <w:rsid w:val="00E44ED6"/>
    <w:rsid w:val="00E50B95"/>
    <w:rsid w:val="00E56EC9"/>
    <w:rsid w:val="00E65BE0"/>
    <w:rsid w:val="00E66F90"/>
    <w:rsid w:val="00E7526D"/>
    <w:rsid w:val="00E75BEB"/>
    <w:rsid w:val="00E846E0"/>
    <w:rsid w:val="00E90223"/>
    <w:rsid w:val="00E90B9E"/>
    <w:rsid w:val="00EA3214"/>
    <w:rsid w:val="00EB3E67"/>
    <w:rsid w:val="00ED3316"/>
    <w:rsid w:val="00EF248A"/>
    <w:rsid w:val="00EF6B7E"/>
    <w:rsid w:val="00F00B9B"/>
    <w:rsid w:val="00F02F53"/>
    <w:rsid w:val="00F07635"/>
    <w:rsid w:val="00F10E2A"/>
    <w:rsid w:val="00F138F8"/>
    <w:rsid w:val="00F21D64"/>
    <w:rsid w:val="00F3300B"/>
    <w:rsid w:val="00F46609"/>
    <w:rsid w:val="00F47503"/>
    <w:rsid w:val="00F47F79"/>
    <w:rsid w:val="00F522BC"/>
    <w:rsid w:val="00F54448"/>
    <w:rsid w:val="00F56DE5"/>
    <w:rsid w:val="00F57378"/>
    <w:rsid w:val="00F6296B"/>
    <w:rsid w:val="00F658BF"/>
    <w:rsid w:val="00F7509D"/>
    <w:rsid w:val="00F9454A"/>
    <w:rsid w:val="00FA1B30"/>
    <w:rsid w:val="00FA313F"/>
    <w:rsid w:val="00FB384D"/>
    <w:rsid w:val="00FC1289"/>
    <w:rsid w:val="00FC338C"/>
    <w:rsid w:val="00FE32D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files/Date%20de%20contact%20experti%20ELI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0B5A-6B95-424C-818F-C45DC8FE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Cristiana Geana</cp:lastModifiedBy>
  <cp:revision>4</cp:revision>
  <cp:lastPrinted>2018-05-03T10:01:00Z</cp:lastPrinted>
  <dcterms:created xsi:type="dcterms:W3CDTF">2018-05-21T10:02:00Z</dcterms:created>
  <dcterms:modified xsi:type="dcterms:W3CDTF">2018-05-30T11:19:00Z</dcterms:modified>
</cp:coreProperties>
</file>