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890"/>
      </w:tblGrid>
      <w:tr w:rsidR="00985A29" w:rsidRPr="002A0B15" w:rsidTr="00985A29">
        <w:tc>
          <w:tcPr>
            <w:tcW w:w="8647" w:type="dxa"/>
            <w:shd w:val="clear" w:color="auto" w:fill="auto"/>
          </w:tcPr>
          <w:p w:rsidR="00985A29" w:rsidRPr="002A0B15" w:rsidRDefault="00985A29" w:rsidP="005F5265">
            <w:pPr>
              <w:rPr>
                <w:rFonts w:eastAsia="MS Mincho"/>
                <w:sz w:val="16"/>
                <w:szCs w:val="18"/>
              </w:rPr>
            </w:pPr>
            <w:bookmarkStart w:id="0" w:name="_GoBack"/>
            <w:bookmarkEnd w:id="0"/>
            <w:r>
              <w:rPr>
                <w:rFonts w:eastAsia="MS Mincho"/>
                <w:noProof/>
                <w:sz w:val="16"/>
                <w:szCs w:val="18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1DC8357E" wp14:editId="24B8D833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208915</wp:posOffset>
                  </wp:positionV>
                  <wp:extent cx="1098550" cy="530860"/>
                  <wp:effectExtent l="0" t="0" r="6350" b="2540"/>
                  <wp:wrapNone/>
                  <wp:docPr id="10" name="Picture 10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4AE38F" wp14:editId="6E08C647">
                  <wp:extent cx="3076575" cy="1009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85A29" w:rsidRPr="002A0B15" w:rsidRDefault="00985A29" w:rsidP="005F5265">
            <w:pPr>
              <w:jc w:val="right"/>
              <w:rPr>
                <w:rFonts w:eastAsia="MS Mincho"/>
                <w:sz w:val="16"/>
                <w:szCs w:val="1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AB901F" wp14:editId="0DC4D8B2">
                  <wp:extent cx="1200150" cy="895350"/>
                  <wp:effectExtent l="0" t="0" r="0" b="0"/>
                  <wp:docPr id="6" name="Picture 6" descr="logo_centenar_ROMAN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entenar_ROMAN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B89" w:rsidRPr="00740B89" w:rsidRDefault="00740B89" w:rsidP="007E50A4">
      <w:pPr>
        <w:spacing w:line="360" w:lineRule="auto"/>
        <w:jc w:val="right"/>
        <w:rPr>
          <w:sz w:val="16"/>
          <w:szCs w:val="16"/>
        </w:rPr>
      </w:pPr>
    </w:p>
    <w:p w:rsidR="007E50A4" w:rsidRPr="00AD13F4" w:rsidRDefault="0047384B" w:rsidP="007E50A4">
      <w:pPr>
        <w:spacing w:line="360" w:lineRule="auto"/>
        <w:jc w:val="right"/>
      </w:pPr>
      <w:r>
        <w:t>Nr._____________/____________</w:t>
      </w:r>
      <w:r w:rsidR="0047467D">
        <w:t>201</w:t>
      </w:r>
      <w:r w:rsidR="004B54F2">
        <w:t>8</w:t>
      </w:r>
    </w:p>
    <w:p w:rsidR="00561CE9" w:rsidRDefault="00561CE9" w:rsidP="00561CE9">
      <w:pPr>
        <w:jc w:val="center"/>
        <w:rPr>
          <w:rFonts w:eastAsia="Times New Roman"/>
          <w:b/>
          <w:bCs/>
        </w:rPr>
      </w:pPr>
    </w:p>
    <w:p w:rsidR="00561CE9" w:rsidRPr="00561CE9" w:rsidRDefault="00561CE9" w:rsidP="00561CE9">
      <w:pPr>
        <w:jc w:val="center"/>
        <w:rPr>
          <w:rFonts w:eastAsia="Times New Roman"/>
          <w:b/>
          <w:bCs/>
          <w:sz w:val="32"/>
          <w:szCs w:val="32"/>
        </w:rPr>
      </w:pPr>
      <w:r w:rsidRPr="00561CE9">
        <w:rPr>
          <w:rFonts w:eastAsia="Times New Roman"/>
          <w:b/>
          <w:bCs/>
          <w:sz w:val="32"/>
          <w:szCs w:val="32"/>
        </w:rPr>
        <w:t>COMUNICAT DE PRESĂ</w:t>
      </w:r>
    </w:p>
    <w:p w:rsidR="00985A29" w:rsidRPr="00057746" w:rsidRDefault="00985A29" w:rsidP="00985A29">
      <w:pPr>
        <w:tabs>
          <w:tab w:val="left" w:pos="8985"/>
          <w:tab w:val="right" w:pos="9923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1BDC4C4C" wp14:editId="6D67B10F">
            <wp:simplePos x="0" y="0"/>
            <wp:positionH relativeFrom="column">
              <wp:posOffset>154305</wp:posOffset>
            </wp:positionH>
            <wp:positionV relativeFrom="paragraph">
              <wp:posOffset>-203835</wp:posOffset>
            </wp:positionV>
            <wp:extent cx="603250" cy="603250"/>
            <wp:effectExtent l="0" t="0" r="6350" b="6350"/>
            <wp:wrapNone/>
            <wp:docPr id="5" name="Picture 5" descr="eures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es_logo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A29" w:rsidRDefault="00985A29" w:rsidP="00985A29">
      <w:pPr>
        <w:ind w:left="1800"/>
        <w:rPr>
          <w:b/>
          <w:bCs/>
        </w:rPr>
      </w:pPr>
    </w:p>
    <w:p w:rsidR="00985A29" w:rsidRDefault="00985A29" w:rsidP="00985A29">
      <w:pPr>
        <w:ind w:left="1800"/>
        <w:rPr>
          <w:b/>
          <w:bCs/>
        </w:rPr>
      </w:pPr>
    </w:p>
    <w:p w:rsidR="00985A29" w:rsidRPr="00740B89" w:rsidRDefault="00985A29" w:rsidP="00740B89">
      <w:pPr>
        <w:ind w:firstLine="142"/>
        <w:jc w:val="both"/>
        <w:rPr>
          <w:b/>
          <w:bCs/>
          <w:sz w:val="24"/>
          <w:szCs w:val="24"/>
          <w:lang w:val="fr-FR"/>
        </w:rPr>
      </w:pPr>
      <w:r w:rsidRPr="00740B89">
        <w:rPr>
          <w:b/>
          <w:bCs/>
          <w:sz w:val="24"/>
          <w:szCs w:val="24"/>
          <w:lang w:val="fr-FR"/>
        </w:rPr>
        <w:t>Comunicat de presă</w:t>
      </w:r>
    </w:p>
    <w:p w:rsidR="00985A29" w:rsidRPr="00740B89" w:rsidRDefault="00985A29" w:rsidP="00740B89">
      <w:pPr>
        <w:ind w:firstLine="142"/>
        <w:jc w:val="both"/>
        <w:rPr>
          <w:b/>
          <w:bCs/>
          <w:sz w:val="24"/>
          <w:szCs w:val="24"/>
        </w:rPr>
      </w:pPr>
      <w:r w:rsidRPr="00740B89">
        <w:rPr>
          <w:b/>
          <w:bCs/>
          <w:sz w:val="24"/>
          <w:szCs w:val="24"/>
        </w:rPr>
        <w:t>Locuri de muncă sezonieră în agricultură - Spania - Campania 2019</w:t>
      </w:r>
    </w:p>
    <w:p w:rsidR="00985A29" w:rsidRPr="00740B89" w:rsidRDefault="00985A29" w:rsidP="00740B89">
      <w:pPr>
        <w:ind w:firstLine="142"/>
        <w:jc w:val="both"/>
        <w:rPr>
          <w:b/>
          <w:sz w:val="24"/>
          <w:szCs w:val="24"/>
        </w:rPr>
      </w:pPr>
    </w:p>
    <w:p w:rsidR="00985A29" w:rsidRDefault="00985A29" w:rsidP="00740B89">
      <w:pPr>
        <w:jc w:val="both"/>
      </w:pPr>
      <w:r w:rsidRPr="00510D02">
        <w:rPr>
          <w:b/>
        </w:rPr>
        <w:t>Agenţia Naţională pentru Ocuparea Forţei de Muncă,</w:t>
      </w:r>
      <w:r w:rsidRPr="00510D02">
        <w:t xml:space="preserve"> prin intermediul </w:t>
      </w:r>
      <w:r w:rsidRPr="00057746">
        <w:rPr>
          <w:b/>
        </w:rPr>
        <w:t xml:space="preserve">Serviciului </w:t>
      </w:r>
      <w:r w:rsidRPr="00510D02">
        <w:rPr>
          <w:b/>
        </w:rPr>
        <w:t xml:space="preserve">EURES din cadrul </w:t>
      </w:r>
      <w:r w:rsidR="00740B89">
        <w:rPr>
          <w:b/>
        </w:rPr>
        <w:t>agențiilor teritoriale pentru ocuparea forței de muncă</w:t>
      </w:r>
      <w:r w:rsidRPr="00510D02">
        <w:rPr>
          <w:b/>
          <w:bCs/>
        </w:rPr>
        <w:t>,</w:t>
      </w:r>
      <w:r w:rsidRPr="00510D02">
        <w:t xml:space="preserve"> promovează oferta unui angajator din Spania </w:t>
      </w:r>
      <w:r w:rsidR="00740B89">
        <w:t xml:space="preserve">– SUREXPORT, </w:t>
      </w:r>
      <w:r w:rsidRPr="00510D02">
        <w:t xml:space="preserve">de 800 locuri de muncă (dintre care 400 locuri pentru femei şi </w:t>
      </w:r>
      <w:r w:rsidR="00BC03E7">
        <w:t>4</w:t>
      </w:r>
      <w:r w:rsidRPr="00510D02">
        <w:t xml:space="preserve">00 de locuri pentru cupluri), pentru munca sezonieră în agricultură pentru recoltarea căpşunilor, campania 2019 (nu se solicită experiență). </w:t>
      </w:r>
    </w:p>
    <w:p w:rsidR="00985A29" w:rsidRPr="00510D02" w:rsidRDefault="00985A29" w:rsidP="00985A29">
      <w:pPr>
        <w:ind w:firstLine="270"/>
        <w:jc w:val="both"/>
      </w:pPr>
    </w:p>
    <w:p w:rsidR="00985A29" w:rsidRDefault="00985A29" w:rsidP="00740B89">
      <w:pPr>
        <w:jc w:val="both"/>
      </w:pPr>
      <w:r w:rsidRPr="00510D02">
        <w:t>Durata contractului de muncă este de aproximativ 3 luni, data estimată de angajare fiind 15 februarie 2019. Timpul de lucru este de 6,5 ore efectiv lucrate</w:t>
      </w:r>
      <w:r w:rsidRPr="00002550">
        <w:rPr>
          <w:lang w:val="fr-FR"/>
        </w:rPr>
        <w:t>/</w:t>
      </w:r>
      <w:r>
        <w:t xml:space="preserve">zi, 40 de ore şi </w:t>
      </w:r>
      <w:r w:rsidRPr="00510D02">
        <w:t>15</w:t>
      </w:r>
      <w:r>
        <w:t xml:space="preserve"> min</w:t>
      </w:r>
      <w:r w:rsidRPr="00510D02">
        <w:t>/săptămână împărţite în 6 zile, ziua de odihnă nu este neapărat duminica.</w:t>
      </w:r>
    </w:p>
    <w:p w:rsidR="00985A29" w:rsidRPr="00510D02" w:rsidRDefault="00985A29" w:rsidP="00985A29">
      <w:pPr>
        <w:ind w:firstLine="270"/>
        <w:jc w:val="both"/>
      </w:pPr>
    </w:p>
    <w:p w:rsidR="00985A29" w:rsidRDefault="00985A29" w:rsidP="00740B89">
      <w:pPr>
        <w:jc w:val="both"/>
      </w:pPr>
      <w:r w:rsidRPr="00510D02">
        <w:t xml:space="preserve">Salariul oferit este de 40,43 euro brut/zi, plătibil la două săptămâni prin transfer bancar. Contribuţiile datorate sunt: (IRPF=impozit) = 2% impozit, asigurare medicală = 113 euro/lună. Perioada de probă este de 15 zile. </w:t>
      </w:r>
    </w:p>
    <w:p w:rsidR="00985A29" w:rsidRPr="00510D02" w:rsidRDefault="00985A29" w:rsidP="00985A29">
      <w:pPr>
        <w:ind w:firstLine="270"/>
        <w:jc w:val="both"/>
      </w:pPr>
    </w:p>
    <w:p w:rsidR="00985A29" w:rsidRPr="00510D02" w:rsidRDefault="00985A29" w:rsidP="00740B89">
      <w:pPr>
        <w:jc w:val="both"/>
      </w:pPr>
      <w:r w:rsidRPr="00510D02">
        <w:t xml:space="preserve">Cazarea este oferită de către angajator contra unei sume de 1,6 euro/zi (plata utilităților). </w:t>
      </w:r>
    </w:p>
    <w:p w:rsidR="00985A29" w:rsidRDefault="00985A29" w:rsidP="00740B89">
      <w:pPr>
        <w:jc w:val="both"/>
      </w:pPr>
      <w:r>
        <w:t xml:space="preserve">Angajatorul </w:t>
      </w:r>
      <w:r w:rsidRPr="00510D02">
        <w:t xml:space="preserve">plăteşte </w:t>
      </w:r>
      <w:r>
        <w:t xml:space="preserve">transportul către Spania, contravaloarea acestuia urmând a fi recuperată din salariile pe care le va primi angajatul. Întoarcerea în România (la terminarea contractului) este suportată de angajator, </w:t>
      </w:r>
      <w:r w:rsidRPr="00A25506">
        <w:t xml:space="preserve">transportul dus-întors </w:t>
      </w:r>
      <w:r>
        <w:t>fiind organizat de a</w:t>
      </w:r>
      <w:r w:rsidRPr="00A25506">
        <w:t>ngajator printr-o firmă de transport.</w:t>
      </w:r>
    </w:p>
    <w:p w:rsidR="00985A29" w:rsidRDefault="00985A29" w:rsidP="00985A29">
      <w:pPr>
        <w:ind w:firstLine="270"/>
        <w:jc w:val="both"/>
      </w:pPr>
    </w:p>
    <w:p w:rsidR="00985A29" w:rsidRDefault="00985A29" w:rsidP="00740B89">
      <w:pPr>
        <w:jc w:val="both"/>
        <w:rPr>
          <w:bCs/>
        </w:rPr>
      </w:pPr>
      <w:r>
        <w:t>P</w:t>
      </w:r>
      <w:r w:rsidRPr="00510D02">
        <w:rPr>
          <w:bCs/>
        </w:rPr>
        <w:t xml:space="preserve">ersoanele care doresc să aplice pentru unul din aceste locuri de muncă trebuie să se adreseze consilierului EURES din cadrul AJOFM </w:t>
      </w:r>
      <w:r w:rsidR="00FC0056">
        <w:rPr>
          <w:bCs/>
        </w:rPr>
        <w:t>Teleorman</w:t>
      </w:r>
      <w:r>
        <w:rPr>
          <w:bCs/>
        </w:rPr>
        <w:t xml:space="preserve"> </w:t>
      </w:r>
      <w:r w:rsidRPr="00510D02">
        <w:rPr>
          <w:bCs/>
        </w:rPr>
        <w:t xml:space="preserve">din </w:t>
      </w:r>
      <w:r w:rsidR="00FC0056">
        <w:rPr>
          <w:bCs/>
        </w:rPr>
        <w:t>Alexandria</w:t>
      </w:r>
      <w:r w:rsidRPr="00510D02">
        <w:rPr>
          <w:bCs/>
        </w:rPr>
        <w:t xml:space="preserve">, strada </w:t>
      </w:r>
      <w:r w:rsidR="00FC0056">
        <w:rPr>
          <w:bCs/>
        </w:rPr>
        <w:t>Dunarii</w:t>
      </w:r>
      <w:r w:rsidRPr="00510D02">
        <w:rPr>
          <w:bCs/>
        </w:rPr>
        <w:t xml:space="preserve">, nr. </w:t>
      </w:r>
      <w:r w:rsidR="00FC0056">
        <w:rPr>
          <w:bCs/>
        </w:rPr>
        <w:t>1</w:t>
      </w:r>
      <w:r w:rsidRPr="00510D02">
        <w:rPr>
          <w:bCs/>
        </w:rPr>
        <w:t xml:space="preserve">, tel. </w:t>
      </w:r>
      <w:r w:rsidR="00FC0056">
        <w:rPr>
          <w:bCs/>
        </w:rPr>
        <w:t>0247310155</w:t>
      </w:r>
      <w:r>
        <w:rPr>
          <w:bCs/>
        </w:rPr>
        <w:t xml:space="preserve">. </w:t>
      </w:r>
    </w:p>
    <w:p w:rsidR="00740B89" w:rsidRDefault="00740B89" w:rsidP="00740B89">
      <w:pPr>
        <w:jc w:val="both"/>
        <w:rPr>
          <w:bCs/>
        </w:rPr>
      </w:pPr>
    </w:p>
    <w:p w:rsidR="00740B89" w:rsidRDefault="00740B89" w:rsidP="00740B89">
      <w:pPr>
        <w:jc w:val="both"/>
        <w:rPr>
          <w:bCs/>
        </w:rPr>
      </w:pPr>
      <w:r w:rsidRPr="00740B89">
        <w:rPr>
          <w:bCs/>
        </w:rPr>
        <w:t>Dosarul pentru inregistrarea in baza de date va contine urmatoarele acte: cererea tip (se completeaza la sediul agentiei), copie act identitate, CV, adeverinta medicala "apt pentru munca".</w:t>
      </w:r>
      <w:r>
        <w:rPr>
          <w:bCs/>
        </w:rPr>
        <w:t xml:space="preserve"> </w:t>
      </w:r>
      <w:r w:rsidRPr="00740B89">
        <w:rPr>
          <w:bCs/>
        </w:rPr>
        <w:t>Preselectia solicitantilor care doresc sa ocupe un loc de munca la acest angajator va fi facuta de catre consilierii EURES, iar CV-urile selectate vor fi trimise la angajator pentru selec</w:t>
      </w:r>
      <w:r w:rsidR="005F4DEC">
        <w:rPr>
          <w:bCs/>
        </w:rPr>
        <w:t>ț</w:t>
      </w:r>
      <w:r w:rsidRPr="00740B89">
        <w:rPr>
          <w:bCs/>
        </w:rPr>
        <w:t>ia propriu-zisa.</w:t>
      </w:r>
    </w:p>
    <w:p w:rsidR="00D12B37" w:rsidRDefault="00D12B37" w:rsidP="00740B89">
      <w:pPr>
        <w:suppressAutoHyphens/>
        <w:jc w:val="both"/>
        <w:rPr>
          <w:rFonts w:eastAsia="Calibri"/>
          <w:b/>
        </w:rPr>
      </w:pPr>
    </w:p>
    <w:p w:rsidR="00985A29" w:rsidRPr="0066233E" w:rsidRDefault="00740B89" w:rsidP="00740B89">
      <w:pPr>
        <w:suppressAutoHyphens/>
        <w:jc w:val="both"/>
        <w:rPr>
          <w:rFonts w:eastAsia="Calibri"/>
          <w:b/>
        </w:rPr>
      </w:pPr>
      <w:r>
        <w:rPr>
          <w:rFonts w:eastAsia="Calibri"/>
          <w:b/>
        </w:rPr>
        <w:t>Termen limită pentru aplicare: 01.02</w:t>
      </w:r>
      <w:r w:rsidR="00985A29" w:rsidRPr="0066233E">
        <w:rPr>
          <w:rFonts w:eastAsia="Calibri"/>
          <w:b/>
        </w:rPr>
        <w:t>.201</w:t>
      </w:r>
      <w:r>
        <w:rPr>
          <w:rFonts w:eastAsia="Calibri"/>
          <w:b/>
        </w:rPr>
        <w:t>9</w:t>
      </w:r>
      <w:r w:rsidR="00985A29" w:rsidRPr="0066233E">
        <w:rPr>
          <w:rFonts w:eastAsia="Calibri"/>
          <w:b/>
        </w:rPr>
        <w:t xml:space="preserve">. </w:t>
      </w:r>
    </w:p>
    <w:p w:rsidR="0047384B" w:rsidRPr="00035E11" w:rsidRDefault="0047384B" w:rsidP="00035E1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Arial"/>
          <w:bCs/>
          <w:sz w:val="24"/>
          <w:szCs w:val="24"/>
        </w:rPr>
      </w:pPr>
    </w:p>
    <w:p w:rsidR="00644380" w:rsidRDefault="00644380" w:rsidP="00644380">
      <w:pPr>
        <w:spacing w:line="360" w:lineRule="auto"/>
        <w:jc w:val="right"/>
      </w:pPr>
    </w:p>
    <w:p w:rsidR="00740B89" w:rsidRDefault="00644380" w:rsidP="00644380">
      <w:pPr>
        <w:spacing w:line="360" w:lineRule="auto"/>
      </w:pPr>
      <w:r>
        <w:t>Agenţia Judeţeană pentru ocuparea Forţei de Muncă Teleorman</w:t>
      </w:r>
    </w:p>
    <w:sectPr w:rsidR="00740B89" w:rsidSect="00740B89">
      <w:footerReference w:type="default" r:id="rId12"/>
      <w:pgSz w:w="11906" w:h="16838"/>
      <w:pgMar w:top="426" w:right="707" w:bottom="1440" w:left="1276" w:header="421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20" w:rsidRDefault="00794320" w:rsidP="008525EF">
      <w:r>
        <w:separator/>
      </w:r>
    </w:p>
  </w:endnote>
  <w:endnote w:type="continuationSeparator" w:id="0">
    <w:p w:rsidR="00794320" w:rsidRDefault="00794320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4D" w:rsidRPr="00146C4D" w:rsidRDefault="00146C4D" w:rsidP="00146C4D">
    <w:pPr>
      <w:tabs>
        <w:tab w:val="center" w:pos="4320"/>
        <w:tab w:val="right" w:pos="8640"/>
      </w:tabs>
      <w:jc w:val="both"/>
      <w:rPr>
        <w:rFonts w:eastAsia="MS Mincho"/>
        <w:sz w:val="14"/>
        <w:szCs w:val="14"/>
      </w:rPr>
    </w:pPr>
  </w:p>
  <w:p w:rsidR="00146C4D" w:rsidRPr="00146C4D" w:rsidRDefault="00146C4D" w:rsidP="00146C4D">
    <w:pPr>
      <w:tabs>
        <w:tab w:val="center" w:pos="4320"/>
        <w:tab w:val="right" w:pos="8640"/>
      </w:tabs>
      <w:ind w:left="180"/>
      <w:jc w:val="both"/>
      <w:rPr>
        <w:rFonts w:eastAsia="MS Mincho"/>
        <w:sz w:val="16"/>
        <w:szCs w:val="14"/>
      </w:rPr>
    </w:pPr>
    <w:r w:rsidRPr="00146C4D">
      <w:rPr>
        <w:rFonts w:eastAsia="MS Mincho"/>
        <w:sz w:val="14"/>
        <w:szCs w:val="14"/>
      </w:rPr>
      <w:t>AGENŢIA JUDEŢEANĂ PENTRU OCUPAREA FORŢEI DE MUNCĂ TELEORMAN</w:t>
    </w:r>
    <w:r w:rsidRPr="00146C4D">
      <w:rPr>
        <w:rFonts w:eastAsia="MS Mincho"/>
        <w:sz w:val="16"/>
        <w:szCs w:val="14"/>
      </w:rPr>
      <w:tab/>
    </w:r>
  </w:p>
  <w:p w:rsidR="00146C4D" w:rsidRPr="00146C4D" w:rsidRDefault="00146C4D" w:rsidP="00146C4D">
    <w:pPr>
      <w:tabs>
        <w:tab w:val="center" w:pos="4320"/>
        <w:tab w:val="right" w:pos="8640"/>
      </w:tabs>
      <w:ind w:left="180"/>
      <w:jc w:val="both"/>
      <w:rPr>
        <w:rFonts w:eastAsia="MS Mincho"/>
        <w:sz w:val="14"/>
        <w:szCs w:val="14"/>
      </w:rPr>
    </w:pPr>
    <w:r w:rsidRPr="00146C4D">
      <w:rPr>
        <w:rFonts w:eastAsia="MS Mincho"/>
        <w:sz w:val="14"/>
        <w:szCs w:val="14"/>
      </w:rPr>
      <w:t>Operator de date cu caracter personal nr. 551</w:t>
    </w:r>
  </w:p>
  <w:p w:rsidR="00146C4D" w:rsidRPr="00146C4D" w:rsidRDefault="00146C4D" w:rsidP="00146C4D">
    <w:pPr>
      <w:tabs>
        <w:tab w:val="center" w:pos="4320"/>
        <w:tab w:val="right" w:pos="8640"/>
      </w:tabs>
      <w:ind w:left="180"/>
      <w:jc w:val="both"/>
      <w:rPr>
        <w:rFonts w:eastAsia="MS Mincho"/>
        <w:sz w:val="14"/>
        <w:szCs w:val="14"/>
      </w:rPr>
    </w:pPr>
    <w:r w:rsidRPr="00146C4D">
      <w:rPr>
        <w:rFonts w:eastAsia="MS Mincho"/>
        <w:sz w:val="14"/>
        <w:szCs w:val="14"/>
      </w:rPr>
      <w:t>Str. Dunării, nr. 1, Alexandria</w:t>
    </w:r>
  </w:p>
  <w:p w:rsidR="00146C4D" w:rsidRPr="00146C4D" w:rsidRDefault="00146C4D" w:rsidP="00146C4D">
    <w:pPr>
      <w:tabs>
        <w:tab w:val="center" w:pos="4320"/>
        <w:tab w:val="right" w:pos="8640"/>
      </w:tabs>
      <w:ind w:left="180"/>
      <w:jc w:val="both"/>
      <w:rPr>
        <w:rFonts w:eastAsia="MS Mincho"/>
        <w:sz w:val="14"/>
        <w:szCs w:val="14"/>
        <w:lang w:val="it-IT"/>
      </w:rPr>
    </w:pPr>
    <w:r w:rsidRPr="00146C4D">
      <w:rPr>
        <w:rFonts w:eastAsia="MS Mincho"/>
        <w:sz w:val="14"/>
        <w:szCs w:val="14"/>
      </w:rPr>
      <w:t xml:space="preserve">Tel.: +4 0247 </w:t>
    </w:r>
    <w:r w:rsidRPr="00146C4D">
      <w:rPr>
        <w:rFonts w:eastAsia="MS Mincho"/>
        <w:sz w:val="14"/>
        <w:szCs w:val="14"/>
        <w:lang w:val="it-IT"/>
      </w:rPr>
      <w:t>310 155; +4 0247 312 944; +4 0247 315 915</w:t>
    </w:r>
    <w:r w:rsidRPr="00146C4D">
      <w:rPr>
        <w:rFonts w:eastAsia="MS Mincho"/>
        <w:sz w:val="14"/>
        <w:szCs w:val="14"/>
      </w:rPr>
      <w:t xml:space="preserve">; Fax: +4 </w:t>
    </w:r>
    <w:r w:rsidRPr="00146C4D">
      <w:rPr>
        <w:rFonts w:eastAsia="MS Mincho"/>
        <w:sz w:val="14"/>
        <w:szCs w:val="14"/>
        <w:lang w:val="it-IT"/>
      </w:rPr>
      <w:t>0247 311 164</w:t>
    </w:r>
  </w:p>
  <w:p w:rsidR="00146C4D" w:rsidRPr="00146C4D" w:rsidRDefault="00146C4D" w:rsidP="00146C4D">
    <w:pPr>
      <w:tabs>
        <w:tab w:val="center" w:pos="4320"/>
        <w:tab w:val="right" w:pos="8640"/>
      </w:tabs>
      <w:ind w:left="180"/>
      <w:jc w:val="both"/>
      <w:rPr>
        <w:rFonts w:eastAsia="MS Mincho"/>
        <w:sz w:val="14"/>
        <w:szCs w:val="14"/>
        <w:u w:val="single"/>
      </w:rPr>
    </w:pPr>
    <w:r w:rsidRPr="00146C4D">
      <w:rPr>
        <w:rFonts w:eastAsia="MS Mincho"/>
        <w:sz w:val="14"/>
        <w:szCs w:val="14"/>
      </w:rPr>
      <w:t xml:space="preserve">e-mail: </w:t>
    </w:r>
    <w:r w:rsidRPr="00146C4D">
      <w:rPr>
        <w:rFonts w:eastAsia="MS Mincho"/>
        <w:sz w:val="14"/>
        <w:szCs w:val="14"/>
        <w:u w:val="single"/>
      </w:rPr>
      <w:t>ajofm@tr.anofm.ro;</w:t>
    </w:r>
  </w:p>
  <w:p w:rsidR="00146C4D" w:rsidRPr="00146C4D" w:rsidRDefault="00146C4D" w:rsidP="00146C4D">
    <w:pPr>
      <w:tabs>
        <w:tab w:val="center" w:pos="4320"/>
        <w:tab w:val="right" w:pos="8640"/>
      </w:tabs>
      <w:ind w:left="180"/>
      <w:jc w:val="both"/>
      <w:rPr>
        <w:rFonts w:eastAsia="MS Mincho"/>
        <w:lang w:val="en-US"/>
      </w:rPr>
    </w:pPr>
    <w:r w:rsidRPr="00146C4D">
      <w:rPr>
        <w:rFonts w:eastAsia="MS Mincho"/>
        <w:sz w:val="14"/>
        <w:szCs w:val="14"/>
      </w:rPr>
      <w:t>www.teleorman.anofm.ro</w:t>
    </w:r>
  </w:p>
  <w:p w:rsidR="00146C4D" w:rsidRPr="00146C4D" w:rsidRDefault="00146C4D" w:rsidP="00146C4D">
    <w:pPr>
      <w:tabs>
        <w:tab w:val="center" w:pos="4320"/>
        <w:tab w:val="right" w:pos="8640"/>
      </w:tabs>
      <w:jc w:val="both"/>
      <w:rPr>
        <w:rFonts w:eastAsia="MS Mincho"/>
        <w:lang w:val="en-US"/>
      </w:rPr>
    </w:pPr>
    <w:r w:rsidRPr="00146C4D">
      <w:rPr>
        <w:rFonts w:eastAsia="MS Mincho"/>
        <w:lang w:val="en-US"/>
      </w:rPr>
      <w:t xml:space="preserve">                                   </w:t>
    </w:r>
  </w:p>
  <w:p w:rsidR="00146C4D" w:rsidRPr="00146C4D" w:rsidRDefault="00146C4D" w:rsidP="00146C4D">
    <w:pPr>
      <w:tabs>
        <w:tab w:val="center" w:pos="4320"/>
        <w:tab w:val="right" w:pos="8640"/>
      </w:tabs>
      <w:jc w:val="both"/>
      <w:rPr>
        <w:rFonts w:eastAsia="MS Mincho"/>
        <w:sz w:val="14"/>
        <w:szCs w:val="14"/>
      </w:rPr>
    </w:pPr>
  </w:p>
  <w:p w:rsidR="006A4A30" w:rsidRDefault="006A4A30">
    <w:pPr>
      <w:pStyle w:val="Footer"/>
    </w:pPr>
  </w:p>
  <w:p w:rsidR="008525EF" w:rsidRDefault="00852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20" w:rsidRDefault="00794320" w:rsidP="008525EF">
      <w:r>
        <w:separator/>
      </w:r>
    </w:p>
  </w:footnote>
  <w:footnote w:type="continuationSeparator" w:id="0">
    <w:p w:rsidR="00794320" w:rsidRDefault="00794320" w:rsidP="008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35E11"/>
    <w:rsid w:val="0010194A"/>
    <w:rsid w:val="001347EC"/>
    <w:rsid w:val="00146C4D"/>
    <w:rsid w:val="001523FF"/>
    <w:rsid w:val="00197BF2"/>
    <w:rsid w:val="00243BF5"/>
    <w:rsid w:val="002A1A8D"/>
    <w:rsid w:val="0032364D"/>
    <w:rsid w:val="00327F54"/>
    <w:rsid w:val="0033370B"/>
    <w:rsid w:val="00364133"/>
    <w:rsid w:val="00366BD9"/>
    <w:rsid w:val="004060B2"/>
    <w:rsid w:val="00455661"/>
    <w:rsid w:val="004569DF"/>
    <w:rsid w:val="0047384B"/>
    <w:rsid w:val="00474365"/>
    <w:rsid w:val="0047467D"/>
    <w:rsid w:val="004B3745"/>
    <w:rsid w:val="004B54F2"/>
    <w:rsid w:val="004D2890"/>
    <w:rsid w:val="004F511C"/>
    <w:rsid w:val="004F6757"/>
    <w:rsid w:val="00532443"/>
    <w:rsid w:val="00561CE9"/>
    <w:rsid w:val="00564985"/>
    <w:rsid w:val="005674B7"/>
    <w:rsid w:val="005B19A1"/>
    <w:rsid w:val="005C473F"/>
    <w:rsid w:val="005F0B3A"/>
    <w:rsid w:val="005F4DEC"/>
    <w:rsid w:val="00606735"/>
    <w:rsid w:val="00644380"/>
    <w:rsid w:val="0064710C"/>
    <w:rsid w:val="00671A56"/>
    <w:rsid w:val="006936F0"/>
    <w:rsid w:val="00696B8B"/>
    <w:rsid w:val="006A4A30"/>
    <w:rsid w:val="007247BF"/>
    <w:rsid w:val="00740B89"/>
    <w:rsid w:val="00743758"/>
    <w:rsid w:val="00746EE6"/>
    <w:rsid w:val="00751CA6"/>
    <w:rsid w:val="00794320"/>
    <w:rsid w:val="007E1807"/>
    <w:rsid w:val="007E50A4"/>
    <w:rsid w:val="008047B2"/>
    <w:rsid w:val="00823C4E"/>
    <w:rsid w:val="00843E74"/>
    <w:rsid w:val="008525EF"/>
    <w:rsid w:val="00867783"/>
    <w:rsid w:val="00891CBC"/>
    <w:rsid w:val="0092185D"/>
    <w:rsid w:val="00985A29"/>
    <w:rsid w:val="009D6E37"/>
    <w:rsid w:val="00A20292"/>
    <w:rsid w:val="00A70CB7"/>
    <w:rsid w:val="00A93883"/>
    <w:rsid w:val="00AA3C79"/>
    <w:rsid w:val="00B164CE"/>
    <w:rsid w:val="00B96934"/>
    <w:rsid w:val="00BB1A33"/>
    <w:rsid w:val="00BC03E7"/>
    <w:rsid w:val="00BD27FD"/>
    <w:rsid w:val="00BE689B"/>
    <w:rsid w:val="00BF5859"/>
    <w:rsid w:val="00BF696C"/>
    <w:rsid w:val="00C129FF"/>
    <w:rsid w:val="00C36A93"/>
    <w:rsid w:val="00C7630E"/>
    <w:rsid w:val="00C8594E"/>
    <w:rsid w:val="00CB3550"/>
    <w:rsid w:val="00D04A87"/>
    <w:rsid w:val="00D070E0"/>
    <w:rsid w:val="00D12B37"/>
    <w:rsid w:val="00DD61FF"/>
    <w:rsid w:val="00E57E65"/>
    <w:rsid w:val="00E61003"/>
    <w:rsid w:val="00EA43CA"/>
    <w:rsid w:val="00EA573B"/>
    <w:rsid w:val="00FA78FD"/>
    <w:rsid w:val="00FC0056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Mihaela Cirjan</cp:lastModifiedBy>
  <cp:revision>7</cp:revision>
  <cp:lastPrinted>2018-11-15T08:55:00Z</cp:lastPrinted>
  <dcterms:created xsi:type="dcterms:W3CDTF">2018-11-14T06:52:00Z</dcterms:created>
  <dcterms:modified xsi:type="dcterms:W3CDTF">2018-11-15T08:59:00Z</dcterms:modified>
</cp:coreProperties>
</file>