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149" w:rsidRPr="003146E8" w:rsidRDefault="008C7149" w:rsidP="00FC6E57">
      <w:pPr>
        <w:ind w:left="0"/>
        <w:jc w:val="right"/>
        <w:rPr>
          <w:sz w:val="24"/>
          <w:szCs w:val="24"/>
          <w:lang w:val="ro-RO"/>
        </w:rPr>
      </w:pPr>
    </w:p>
    <w:p w:rsidR="004F47CA" w:rsidRPr="003146E8" w:rsidRDefault="004334DC" w:rsidP="00FC6E57">
      <w:pPr>
        <w:ind w:left="0"/>
        <w:jc w:val="right"/>
        <w:rPr>
          <w:sz w:val="24"/>
          <w:szCs w:val="24"/>
          <w:lang w:val="ro-RO"/>
        </w:rPr>
      </w:pPr>
      <w:r w:rsidRPr="003146E8">
        <w:rPr>
          <w:sz w:val="24"/>
          <w:szCs w:val="24"/>
          <w:lang w:val="ro-RO"/>
        </w:rPr>
        <w:t>26</w:t>
      </w:r>
      <w:r w:rsidR="001E4597" w:rsidRPr="003146E8">
        <w:rPr>
          <w:sz w:val="24"/>
          <w:szCs w:val="24"/>
          <w:lang w:val="ro-RO"/>
        </w:rPr>
        <w:t xml:space="preserve"> </w:t>
      </w:r>
      <w:r w:rsidR="00542346" w:rsidRPr="003146E8">
        <w:rPr>
          <w:sz w:val="24"/>
          <w:szCs w:val="24"/>
          <w:lang w:val="ro-RO"/>
        </w:rPr>
        <w:t xml:space="preserve">Octombrie </w:t>
      </w:r>
      <w:r w:rsidR="0000402C" w:rsidRPr="003146E8">
        <w:rPr>
          <w:sz w:val="24"/>
          <w:szCs w:val="24"/>
          <w:lang w:val="ro-RO"/>
        </w:rPr>
        <w:t>2020</w:t>
      </w:r>
    </w:p>
    <w:p w:rsidR="00602C14" w:rsidRPr="003146E8" w:rsidRDefault="00602C14" w:rsidP="00FC6E57">
      <w:pPr>
        <w:ind w:left="0"/>
        <w:rPr>
          <w:sz w:val="24"/>
          <w:szCs w:val="24"/>
        </w:rPr>
      </w:pPr>
    </w:p>
    <w:p w:rsidR="00E85DBD" w:rsidRPr="003146E8" w:rsidRDefault="00E85DBD" w:rsidP="00FC6E57">
      <w:pPr>
        <w:ind w:left="0"/>
        <w:rPr>
          <w:b/>
          <w:sz w:val="24"/>
          <w:szCs w:val="24"/>
        </w:rPr>
      </w:pPr>
    </w:p>
    <w:p w:rsidR="003146E8" w:rsidRPr="003146E8" w:rsidRDefault="00602C14" w:rsidP="004334DC">
      <w:pPr>
        <w:ind w:left="0"/>
        <w:rPr>
          <w:b/>
          <w:sz w:val="24"/>
          <w:szCs w:val="24"/>
        </w:rPr>
      </w:pPr>
      <w:r w:rsidRPr="003146E8">
        <w:rPr>
          <w:b/>
          <w:sz w:val="24"/>
          <w:szCs w:val="24"/>
        </w:rPr>
        <w:t>Comunicat de presă</w:t>
      </w:r>
    </w:p>
    <w:p w:rsidR="003146E8" w:rsidRPr="003146E8" w:rsidRDefault="009E2834" w:rsidP="004334DC">
      <w:pPr>
        <w:ind w:left="0"/>
        <w:rPr>
          <w:b/>
          <w:sz w:val="24"/>
          <w:szCs w:val="24"/>
        </w:rPr>
      </w:pPr>
      <w:r>
        <w:rPr>
          <w:b/>
          <w:sz w:val="24"/>
          <w:szCs w:val="24"/>
        </w:rPr>
        <w:t>Informații utile angajatoril</w:t>
      </w:r>
      <w:r w:rsidR="003146E8" w:rsidRPr="003146E8">
        <w:rPr>
          <w:b/>
          <w:sz w:val="24"/>
          <w:szCs w:val="24"/>
        </w:rPr>
        <w:t>or care au</w:t>
      </w:r>
      <w:r w:rsidR="003146E8" w:rsidRPr="003146E8">
        <w:rPr>
          <w:rFonts w:eastAsia="Times New Roman"/>
          <w:b/>
          <w:sz w:val="24"/>
          <w:szCs w:val="24"/>
        </w:rPr>
        <w:t xml:space="preserve"> </w:t>
      </w:r>
      <w:r w:rsidR="003146E8" w:rsidRPr="008F5D62">
        <w:rPr>
          <w:rFonts w:eastAsia="Times New Roman"/>
          <w:b/>
          <w:sz w:val="24"/>
          <w:szCs w:val="24"/>
        </w:rPr>
        <w:t xml:space="preserve">beneficiat de sprijinul financiar acordat în vederea achiziționării de bunuri și servicii </w:t>
      </w:r>
      <w:r>
        <w:rPr>
          <w:rFonts w:eastAsia="Times New Roman"/>
          <w:b/>
          <w:sz w:val="24"/>
          <w:szCs w:val="24"/>
        </w:rPr>
        <w:t>pentru</w:t>
      </w:r>
      <w:r w:rsidR="003146E8" w:rsidRPr="008F5D62">
        <w:rPr>
          <w:rFonts w:eastAsia="Times New Roman"/>
          <w:b/>
          <w:sz w:val="24"/>
          <w:szCs w:val="24"/>
        </w:rPr>
        <w:t xml:space="preserve"> </w:t>
      </w:r>
      <w:r>
        <w:rPr>
          <w:rFonts w:eastAsia="Times New Roman"/>
          <w:b/>
          <w:sz w:val="24"/>
          <w:szCs w:val="24"/>
        </w:rPr>
        <w:t>desfășurarea</w:t>
      </w:r>
      <w:r w:rsidR="003146E8" w:rsidRPr="008F5D62">
        <w:rPr>
          <w:rFonts w:eastAsia="Times New Roman"/>
          <w:b/>
          <w:sz w:val="24"/>
          <w:szCs w:val="24"/>
        </w:rPr>
        <w:t xml:space="preserve"> activității salari</w:t>
      </w:r>
      <w:r w:rsidR="001B1F5B">
        <w:rPr>
          <w:rFonts w:eastAsia="Times New Roman"/>
          <w:b/>
          <w:sz w:val="24"/>
          <w:szCs w:val="24"/>
        </w:rPr>
        <w:t>a</w:t>
      </w:r>
      <w:r w:rsidR="003146E8" w:rsidRPr="008F5D62">
        <w:rPr>
          <w:rFonts w:eastAsia="Times New Roman"/>
          <w:b/>
          <w:sz w:val="24"/>
          <w:szCs w:val="24"/>
        </w:rPr>
        <w:t>ților în regim de telemuncă</w:t>
      </w:r>
    </w:p>
    <w:p w:rsidR="003146E8" w:rsidRPr="003146E8" w:rsidRDefault="003146E8" w:rsidP="004334DC">
      <w:pPr>
        <w:ind w:left="0"/>
        <w:rPr>
          <w:b/>
          <w:sz w:val="24"/>
          <w:szCs w:val="24"/>
        </w:rPr>
      </w:pPr>
    </w:p>
    <w:p w:rsidR="004334DC" w:rsidRPr="003146E8" w:rsidRDefault="004334DC" w:rsidP="003146E8">
      <w:pPr>
        <w:ind w:left="0"/>
        <w:rPr>
          <w:b/>
          <w:sz w:val="24"/>
          <w:szCs w:val="24"/>
        </w:rPr>
      </w:pPr>
      <w:r w:rsidRPr="008F5D62">
        <w:rPr>
          <w:rFonts w:eastAsia="Times New Roman"/>
          <w:sz w:val="24"/>
          <w:szCs w:val="24"/>
        </w:rPr>
        <w:t xml:space="preserve">Potrivit Ordinului 1376/2020 al ministrului Muncii și Protecției Sociale, angajatorii </w:t>
      </w:r>
      <w:r w:rsidR="003146E8" w:rsidRPr="003146E8">
        <w:rPr>
          <w:rFonts w:eastAsia="Times New Roman"/>
          <w:sz w:val="24"/>
          <w:szCs w:val="24"/>
        </w:rPr>
        <w:t xml:space="preserve">din județul Dolj </w:t>
      </w:r>
      <w:r w:rsidRPr="008F5D62">
        <w:rPr>
          <w:rFonts w:eastAsia="Times New Roman"/>
          <w:sz w:val="24"/>
          <w:szCs w:val="24"/>
        </w:rPr>
        <w:t>care au beneficiat de sprijinul financiar acordat în vederea achiziționării de bunuri și servicii necesar desfășurării activității salari</w:t>
      </w:r>
      <w:r w:rsidR="001B1F5B">
        <w:rPr>
          <w:rFonts w:eastAsia="Times New Roman"/>
          <w:sz w:val="24"/>
          <w:szCs w:val="24"/>
        </w:rPr>
        <w:t>a</w:t>
      </w:r>
      <w:bookmarkStart w:id="0" w:name="_GoBack"/>
      <w:bookmarkEnd w:id="0"/>
      <w:r w:rsidRPr="008F5D62">
        <w:rPr>
          <w:rFonts w:eastAsia="Times New Roman"/>
          <w:sz w:val="24"/>
          <w:szCs w:val="24"/>
        </w:rPr>
        <w:t xml:space="preserve">ților în regim de telemuncă, au obligația de a transmite, </w:t>
      </w:r>
      <w:r w:rsidRPr="008F5D62">
        <w:rPr>
          <w:rFonts w:eastAsia="Times New Roman"/>
          <w:b/>
          <w:bCs/>
          <w:sz w:val="24"/>
          <w:szCs w:val="24"/>
        </w:rPr>
        <w:t>în termen de 30 de zile de la acordarea sumei</w:t>
      </w:r>
      <w:r w:rsidRPr="008F5D62">
        <w:rPr>
          <w:rFonts w:eastAsia="Times New Roman"/>
          <w:sz w:val="24"/>
          <w:szCs w:val="24"/>
        </w:rPr>
        <w:t xml:space="preserve"> prevăzute la art. 6 alin. (1) din OUG 132/2020, prin încărcarea pe platforma aici.gov.ro, la</w:t>
      </w:r>
      <w:r w:rsidR="007F0FE3">
        <w:rPr>
          <w:rFonts w:eastAsia="Times New Roman"/>
          <w:sz w:val="24"/>
          <w:szCs w:val="24"/>
        </w:rPr>
        <w:t xml:space="preserve"> Agenția Județeană pentru Ocupa</w:t>
      </w:r>
      <w:r w:rsidR="003146E8" w:rsidRPr="003146E8">
        <w:rPr>
          <w:rFonts w:eastAsia="Times New Roman"/>
          <w:sz w:val="24"/>
          <w:szCs w:val="24"/>
        </w:rPr>
        <w:t>rea Forței de Muncă Dolj</w:t>
      </w:r>
      <w:r w:rsidRPr="008F5D62">
        <w:rPr>
          <w:rFonts w:eastAsia="Times New Roman"/>
          <w:sz w:val="24"/>
          <w:szCs w:val="24"/>
        </w:rPr>
        <w:t>, următoarele documente justificative, scanate:</w:t>
      </w:r>
    </w:p>
    <w:p w:rsidR="004334DC" w:rsidRPr="003146E8" w:rsidRDefault="004334DC" w:rsidP="003146E8">
      <w:pPr>
        <w:ind w:left="0"/>
        <w:jc w:val="left"/>
        <w:rPr>
          <w:b/>
          <w:sz w:val="24"/>
          <w:szCs w:val="24"/>
        </w:rPr>
      </w:pPr>
      <w:r w:rsidRPr="003146E8">
        <w:rPr>
          <w:rFonts w:eastAsia="Times New Roman"/>
          <w:sz w:val="24"/>
          <w:szCs w:val="24"/>
        </w:rPr>
        <w:t>a) facturile fiscale emise de către furnizorii de bunuri și servicii tehnologice;</w:t>
      </w:r>
      <w:r w:rsidRPr="003146E8">
        <w:rPr>
          <w:rFonts w:eastAsia="Times New Roman"/>
          <w:sz w:val="24"/>
          <w:szCs w:val="24"/>
        </w:rPr>
        <w:br/>
        <w:t>b) bonurile fiscale sau chitanțele sau extrasele de cont care să ateste plata facturilor</w:t>
      </w:r>
      <w:r w:rsidR="003146E8" w:rsidRPr="003146E8">
        <w:rPr>
          <w:rFonts w:eastAsia="Times New Roman"/>
          <w:sz w:val="24"/>
          <w:szCs w:val="24"/>
        </w:rPr>
        <w:t xml:space="preserve"> menționate anterior</w:t>
      </w:r>
      <w:r w:rsidRPr="003146E8">
        <w:rPr>
          <w:rFonts w:eastAsia="Times New Roman"/>
          <w:sz w:val="24"/>
          <w:szCs w:val="24"/>
        </w:rPr>
        <w:t>;</w:t>
      </w:r>
      <w:r w:rsidRPr="003146E8">
        <w:rPr>
          <w:rFonts w:eastAsia="Times New Roman"/>
          <w:sz w:val="24"/>
          <w:szCs w:val="24"/>
        </w:rPr>
        <w:br/>
        <w:t>c) fișele de evidență a materialelor de natura obiectelor de inventar date în folosința telesalariaților, întocmite conform modelului prevăzut în anexa nr. 3 la Ordinul ministrului finanțelor publice nr. 2.634/2015 privind documentele financiar-contabile, sau/și, după caz, bonurile de mișcare a mijloacelor fixe date în folosința salariaților, întocmite conform modelului prevăzut în anexa nr. 3 la Ordinul ministrului finanțelor publice nr. 2.634/2015, sau/și, după caz, situația cu serviciile tehnologice pe care angajatorul le asigură fiecărui telesalariat.</w:t>
      </w:r>
      <w:r w:rsidRPr="003146E8">
        <w:rPr>
          <w:rFonts w:eastAsia="Times New Roman"/>
          <w:sz w:val="24"/>
          <w:szCs w:val="24"/>
        </w:rPr>
        <w:br/>
        <w:t xml:space="preserve">În cazul nerespectării obligației prevăzute mai sus, în 30 de zile de la data expirării termenului pentru depunerea documentelor justificative referitoare la achiziția categoriilor de bunuri stabilite în anexa nr. 1, angajatorii restituie integral suma acordată, în contul de trezorerie al </w:t>
      </w:r>
      <w:r w:rsidR="009F2DEE">
        <w:rPr>
          <w:rFonts w:eastAsia="Times New Roman"/>
          <w:sz w:val="24"/>
          <w:szCs w:val="24"/>
        </w:rPr>
        <w:t>Agenției Județene</w:t>
      </w:r>
      <w:r w:rsidR="007F0FE3">
        <w:rPr>
          <w:rFonts w:eastAsia="Times New Roman"/>
          <w:sz w:val="24"/>
          <w:szCs w:val="24"/>
        </w:rPr>
        <w:t xml:space="preserve"> pentru Ocupa</w:t>
      </w:r>
      <w:r w:rsidR="003146E8" w:rsidRPr="003146E8">
        <w:rPr>
          <w:rFonts w:eastAsia="Times New Roman"/>
          <w:sz w:val="24"/>
          <w:szCs w:val="24"/>
        </w:rPr>
        <w:t>rea Forței de Muncă Dolj.</w:t>
      </w:r>
    </w:p>
    <w:p w:rsidR="00AB0160" w:rsidRPr="003146E8" w:rsidRDefault="00AB0160" w:rsidP="00FC6E57">
      <w:pPr>
        <w:rPr>
          <w:sz w:val="24"/>
          <w:szCs w:val="24"/>
        </w:rPr>
      </w:pPr>
    </w:p>
    <w:p w:rsidR="00F44190" w:rsidRPr="003146E8" w:rsidRDefault="00625B75" w:rsidP="00FC6E57">
      <w:pPr>
        <w:ind w:left="0"/>
        <w:rPr>
          <w:sz w:val="24"/>
          <w:szCs w:val="24"/>
        </w:rPr>
      </w:pPr>
      <w:r w:rsidRPr="003146E8">
        <w:rPr>
          <w:sz w:val="24"/>
          <w:szCs w:val="24"/>
        </w:rPr>
        <w:t>Agenţia Judeţeană pentru Ocuparea Forţei de Muncă Dolj</w:t>
      </w:r>
    </w:p>
    <w:sectPr w:rsidR="00F44190" w:rsidRPr="003146E8" w:rsidSect="0068029F">
      <w:headerReference w:type="default" r:id="rId9"/>
      <w:footerReference w:type="default" r:id="rId10"/>
      <w:headerReference w:type="first" r:id="rId11"/>
      <w:footerReference w:type="first" r:id="rId12"/>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720" w:rsidRDefault="007B0720" w:rsidP="00CD5B3B">
      <w:r>
        <w:separator/>
      </w:r>
    </w:p>
  </w:endnote>
  <w:endnote w:type="continuationSeparator" w:id="0">
    <w:p w:rsidR="007B0720" w:rsidRDefault="007B072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7C0260" w:rsidRPr="00E5638A" w:rsidRDefault="007C0260"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AE190C">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7F0FE3">
      <w:rPr>
        <w:noProof/>
        <w:sz w:val="14"/>
        <w:szCs w:val="14"/>
        <w:lang w:val="ro-RO"/>
      </w:rPr>
      <w:t>1</w:t>
    </w:r>
    <w:r w:rsidRPr="002A367B">
      <w:rPr>
        <w:sz w:val="14"/>
        <w:szCs w:val="14"/>
        <w:lang w:val="ro-RO"/>
      </w:rPr>
      <w:fldChar w:fldCharType="end"/>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 xml:space="preserve">e-mail: </w:t>
    </w:r>
    <w:hyperlink r:id="rId1" w:history="1">
      <w:r w:rsidRPr="00E5638A">
        <w:rPr>
          <w:color w:val="0000FF"/>
          <w:sz w:val="14"/>
          <w:szCs w:val="14"/>
          <w:u w:val="single"/>
          <w:lang w:val="ro-RO"/>
        </w:rPr>
        <w:t>ajofm@dj.anofm.ro</w:t>
      </w:r>
    </w:hyperlink>
  </w:p>
  <w:p w:rsidR="007C0260" w:rsidRPr="00E5638A" w:rsidRDefault="007C0260"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2C59E9"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7C0260"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sidR="00602C14">
      <w:rPr>
        <w:sz w:val="14"/>
        <w:szCs w:val="14"/>
        <w:lang w:val="ro-RO"/>
      </w:rPr>
      <w:t xml:space="preserve">                  </w:t>
    </w:r>
    <w:r w:rsidR="00FE1FD1">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B1F5B">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1B1F5B">
      <w:rPr>
        <w:noProof/>
        <w:sz w:val="14"/>
        <w:szCs w:val="14"/>
        <w:lang w:val="ro-RO"/>
      </w:rPr>
      <w:t>1</w:t>
    </w:r>
    <w:r w:rsidRPr="002A367B">
      <w:rPr>
        <w:sz w:val="14"/>
        <w:szCs w:val="14"/>
        <w:lang w:val="ro-RO"/>
      </w:rPr>
      <w:fldChar w:fldCharType="end"/>
    </w:r>
  </w:p>
  <w:p w:rsidR="007C0260" w:rsidRPr="00E5638A" w:rsidRDefault="00602C14" w:rsidP="007C0260">
    <w:pPr>
      <w:tabs>
        <w:tab w:val="center" w:pos="4320"/>
        <w:tab w:val="right" w:pos="8640"/>
      </w:tabs>
      <w:spacing w:after="0" w:line="240" w:lineRule="auto"/>
      <w:ind w:left="0"/>
      <w:rPr>
        <w:sz w:val="14"/>
        <w:szCs w:val="14"/>
        <w:lang w:val="ro-RO"/>
      </w:rPr>
    </w:pPr>
    <w:r>
      <w:rPr>
        <w:sz w:val="14"/>
        <w:szCs w:val="14"/>
        <w:lang w:val="ro-RO"/>
      </w:rPr>
      <w:t xml:space="preserve"> </w:t>
    </w:r>
    <w:r w:rsidR="007C0260" w:rsidRPr="00E5638A">
      <w:rPr>
        <w:sz w:val="14"/>
        <w:szCs w:val="14"/>
        <w:lang w:val="ro-RO"/>
      </w:rPr>
      <w:t>Operator de date cu caracter personal nr. 564</w:t>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602C14" w:rsidP="007C0260">
    <w:pPr>
      <w:tabs>
        <w:tab w:val="center" w:pos="4320"/>
        <w:tab w:val="right" w:pos="8640"/>
      </w:tabs>
      <w:spacing w:after="0" w:line="240" w:lineRule="auto"/>
      <w:ind w:left="0"/>
      <w:rPr>
        <w:sz w:val="14"/>
        <w:szCs w:val="14"/>
        <w:lang w:val="ro-RO"/>
      </w:rPr>
    </w:pPr>
    <w:r>
      <w:rPr>
        <w:sz w:val="14"/>
        <w:szCs w:val="14"/>
        <w:lang w:val="ro-RO"/>
      </w:rPr>
      <w:t xml:space="preserve"> </w:t>
    </w:r>
    <w:r w:rsidR="007C0260" w:rsidRPr="00E5638A">
      <w:rPr>
        <w:sz w:val="14"/>
        <w:szCs w:val="14"/>
        <w:lang w:val="ro-RO"/>
      </w:rPr>
      <w:t>Tel.: +4 0251 306 100; Fax: +4 0351 401 557</w:t>
    </w:r>
  </w:p>
  <w:p w:rsidR="007C0260" w:rsidRPr="00E5638A" w:rsidRDefault="00602C14" w:rsidP="007C0260">
    <w:pPr>
      <w:tabs>
        <w:tab w:val="center" w:pos="4320"/>
        <w:tab w:val="right" w:pos="8640"/>
      </w:tabs>
      <w:spacing w:after="0" w:line="240" w:lineRule="auto"/>
      <w:ind w:left="0"/>
      <w:rPr>
        <w:sz w:val="14"/>
        <w:szCs w:val="14"/>
        <w:lang w:val="ro-RO"/>
      </w:rPr>
    </w:pPr>
    <w:r>
      <w:rPr>
        <w:sz w:val="14"/>
        <w:szCs w:val="14"/>
        <w:lang w:val="ro-RO"/>
      </w:rPr>
      <w:t xml:space="preserve"> </w:t>
    </w:r>
    <w:r w:rsidR="007C0260" w:rsidRPr="00E5638A">
      <w:rPr>
        <w:sz w:val="14"/>
        <w:szCs w:val="14"/>
        <w:lang w:val="ro-RO"/>
      </w:rPr>
      <w:t xml:space="preserve">e-mail: </w:t>
    </w:r>
    <w:hyperlink r:id="rId1" w:history="1">
      <w:r w:rsidR="007C0260" w:rsidRPr="00E5638A">
        <w:rPr>
          <w:color w:val="0000FF"/>
          <w:sz w:val="14"/>
          <w:szCs w:val="14"/>
          <w:u w:val="single"/>
          <w:lang w:val="ro-RO"/>
        </w:rPr>
        <w:t>ajofm@dj.anofm.ro</w:t>
      </w:r>
    </w:hyperlink>
  </w:p>
  <w:p w:rsidR="007C0260" w:rsidRPr="00E5638A" w:rsidRDefault="00602C14" w:rsidP="007C0260">
    <w:pPr>
      <w:tabs>
        <w:tab w:val="center" w:pos="4320"/>
        <w:tab w:val="right" w:pos="8640"/>
      </w:tabs>
      <w:spacing w:after="0" w:line="240" w:lineRule="auto"/>
      <w:ind w:left="0"/>
    </w:pPr>
    <w:r>
      <w:rPr>
        <w:sz w:val="14"/>
        <w:szCs w:val="14"/>
        <w:lang w:val="ro-RO"/>
      </w:rPr>
      <w:t xml:space="preserve"> </w:t>
    </w:r>
    <w:r w:rsidR="007C0260" w:rsidRPr="00E5638A">
      <w:rPr>
        <w:sz w:val="14"/>
        <w:szCs w:val="14"/>
        <w:lang w:val="ro-RO"/>
      </w:rPr>
      <w:t>www.anofm.ro;</w:t>
    </w:r>
    <w:r w:rsidR="007C0260" w:rsidRPr="00E5638A">
      <w:rPr>
        <w:b/>
        <w:sz w:val="14"/>
        <w:szCs w:val="14"/>
        <w:lang w:val="ro-RO"/>
      </w:rPr>
      <w:t xml:space="preserve"> </w:t>
    </w:r>
    <w:r w:rsidR="007C0260" w:rsidRPr="00E5638A">
      <w:rPr>
        <w:sz w:val="14"/>
      </w:rPr>
      <w:t>www.facebook.com/AJOFMDOLJ</w:t>
    </w:r>
  </w:p>
  <w:p w:rsidR="00427C17" w:rsidRPr="00302690" w:rsidRDefault="00427C17"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720" w:rsidRDefault="007B0720" w:rsidP="00CD5B3B">
      <w:r>
        <w:separator/>
      </w:r>
    </w:p>
  </w:footnote>
  <w:footnote w:type="continuationSeparator" w:id="0">
    <w:p w:rsidR="007B0720" w:rsidRDefault="007B072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3B301762" wp14:editId="3EFDCE56">
                <wp:extent cx="1967230" cy="393700"/>
                <wp:effectExtent l="0" t="0" r="0" b="6350"/>
                <wp:docPr id="3" name="Picture 1"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63359360" wp14:editId="1963B15B">
                <wp:extent cx="3049995" cy="978195"/>
                <wp:effectExtent l="0" t="0" r="0" b="0"/>
                <wp:docPr id="5" name="Picture 2"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995" cy="978195"/>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1890" w:type="dxa"/>
          <w:shd w:val="clear" w:color="auto" w:fill="auto"/>
          <w:vAlign w:val="center"/>
        </w:tcPr>
        <w:p w:rsidR="002973E0" w:rsidRPr="002D0CDC" w:rsidRDefault="0000402C" w:rsidP="00E75DB3">
          <w:pPr>
            <w:pStyle w:val="MediumGrid21"/>
            <w:jc w:val="right"/>
            <w:rPr>
              <w:lang w:val="ro-RO"/>
            </w:rPr>
          </w:pPr>
          <w:r>
            <w:rPr>
              <w:noProof/>
            </w:rPr>
            <w:drawing>
              <wp:inline distT="0" distB="0" distL="0" distR="0" wp14:anchorId="20979D9E" wp14:editId="73867AA8">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79"/>
    <w:rsid w:val="00000A1C"/>
    <w:rsid w:val="0000402C"/>
    <w:rsid w:val="0001072D"/>
    <w:rsid w:val="00011077"/>
    <w:rsid w:val="00013EB2"/>
    <w:rsid w:val="000270BE"/>
    <w:rsid w:val="00032874"/>
    <w:rsid w:val="00035F49"/>
    <w:rsid w:val="000373AF"/>
    <w:rsid w:val="00042E51"/>
    <w:rsid w:val="00061CAD"/>
    <w:rsid w:val="00071E3A"/>
    <w:rsid w:val="0007334F"/>
    <w:rsid w:val="0007474B"/>
    <w:rsid w:val="00081663"/>
    <w:rsid w:val="000832EB"/>
    <w:rsid w:val="000A5D78"/>
    <w:rsid w:val="000D1825"/>
    <w:rsid w:val="000E208A"/>
    <w:rsid w:val="000E41CF"/>
    <w:rsid w:val="000E6233"/>
    <w:rsid w:val="000F688A"/>
    <w:rsid w:val="00100F36"/>
    <w:rsid w:val="00111787"/>
    <w:rsid w:val="00112B79"/>
    <w:rsid w:val="00117926"/>
    <w:rsid w:val="001239EF"/>
    <w:rsid w:val="00125B1D"/>
    <w:rsid w:val="001478A6"/>
    <w:rsid w:val="00151B4D"/>
    <w:rsid w:val="00166354"/>
    <w:rsid w:val="00167BD6"/>
    <w:rsid w:val="00171AC3"/>
    <w:rsid w:val="00171F86"/>
    <w:rsid w:val="00177C66"/>
    <w:rsid w:val="001A4FF7"/>
    <w:rsid w:val="001B1F5B"/>
    <w:rsid w:val="001C18F6"/>
    <w:rsid w:val="001C4D54"/>
    <w:rsid w:val="001D07E4"/>
    <w:rsid w:val="001D5E0D"/>
    <w:rsid w:val="001E4597"/>
    <w:rsid w:val="001E7455"/>
    <w:rsid w:val="001F0458"/>
    <w:rsid w:val="002004B8"/>
    <w:rsid w:val="00206CEA"/>
    <w:rsid w:val="002104AA"/>
    <w:rsid w:val="00210C66"/>
    <w:rsid w:val="00213334"/>
    <w:rsid w:val="002142A8"/>
    <w:rsid w:val="0021532B"/>
    <w:rsid w:val="0023740F"/>
    <w:rsid w:val="00242556"/>
    <w:rsid w:val="002612E6"/>
    <w:rsid w:val="00263BCF"/>
    <w:rsid w:val="002673A1"/>
    <w:rsid w:val="002710A8"/>
    <w:rsid w:val="00286520"/>
    <w:rsid w:val="002973E0"/>
    <w:rsid w:val="002A0868"/>
    <w:rsid w:val="002A2939"/>
    <w:rsid w:val="002A4E89"/>
    <w:rsid w:val="002A5742"/>
    <w:rsid w:val="002B7A4F"/>
    <w:rsid w:val="002C5608"/>
    <w:rsid w:val="002C59E9"/>
    <w:rsid w:val="002E22A9"/>
    <w:rsid w:val="002E2846"/>
    <w:rsid w:val="002E4F03"/>
    <w:rsid w:val="002F2C39"/>
    <w:rsid w:val="00302690"/>
    <w:rsid w:val="00305247"/>
    <w:rsid w:val="003070E3"/>
    <w:rsid w:val="00310561"/>
    <w:rsid w:val="003134B0"/>
    <w:rsid w:val="003146E8"/>
    <w:rsid w:val="003178CF"/>
    <w:rsid w:val="00323AB2"/>
    <w:rsid w:val="00330174"/>
    <w:rsid w:val="00340697"/>
    <w:rsid w:val="0034286D"/>
    <w:rsid w:val="00344B78"/>
    <w:rsid w:val="00355A27"/>
    <w:rsid w:val="00361C04"/>
    <w:rsid w:val="00364B14"/>
    <w:rsid w:val="00366029"/>
    <w:rsid w:val="00386247"/>
    <w:rsid w:val="00390AEC"/>
    <w:rsid w:val="00392A43"/>
    <w:rsid w:val="00395093"/>
    <w:rsid w:val="003A15AE"/>
    <w:rsid w:val="003E12C7"/>
    <w:rsid w:val="003E5155"/>
    <w:rsid w:val="003F0631"/>
    <w:rsid w:val="003F33C5"/>
    <w:rsid w:val="004012C9"/>
    <w:rsid w:val="00404FAC"/>
    <w:rsid w:val="00415D13"/>
    <w:rsid w:val="004161B0"/>
    <w:rsid w:val="00427180"/>
    <w:rsid w:val="00427C17"/>
    <w:rsid w:val="004334DC"/>
    <w:rsid w:val="00437758"/>
    <w:rsid w:val="00441E15"/>
    <w:rsid w:val="00442796"/>
    <w:rsid w:val="00443AE8"/>
    <w:rsid w:val="00445CBA"/>
    <w:rsid w:val="004470E1"/>
    <w:rsid w:val="004510F7"/>
    <w:rsid w:val="00451AD0"/>
    <w:rsid w:val="0045219D"/>
    <w:rsid w:val="004714D6"/>
    <w:rsid w:val="00472B48"/>
    <w:rsid w:val="00493AD5"/>
    <w:rsid w:val="004A1133"/>
    <w:rsid w:val="004A51F6"/>
    <w:rsid w:val="004A6223"/>
    <w:rsid w:val="004B08F9"/>
    <w:rsid w:val="004B4D88"/>
    <w:rsid w:val="004D2309"/>
    <w:rsid w:val="004D32C1"/>
    <w:rsid w:val="004D5F89"/>
    <w:rsid w:val="004E19FD"/>
    <w:rsid w:val="004E3CBB"/>
    <w:rsid w:val="004F10B8"/>
    <w:rsid w:val="004F47CA"/>
    <w:rsid w:val="00504A07"/>
    <w:rsid w:val="0050611E"/>
    <w:rsid w:val="00511D6E"/>
    <w:rsid w:val="0051391D"/>
    <w:rsid w:val="005260B3"/>
    <w:rsid w:val="00542346"/>
    <w:rsid w:val="00544099"/>
    <w:rsid w:val="005576A2"/>
    <w:rsid w:val="005727E1"/>
    <w:rsid w:val="0057501B"/>
    <w:rsid w:val="005A0010"/>
    <w:rsid w:val="005A05FA"/>
    <w:rsid w:val="005A36DF"/>
    <w:rsid w:val="005B0684"/>
    <w:rsid w:val="005B2ABF"/>
    <w:rsid w:val="005C0668"/>
    <w:rsid w:val="005C2830"/>
    <w:rsid w:val="005D5DFD"/>
    <w:rsid w:val="005E42CF"/>
    <w:rsid w:val="005E6FFA"/>
    <w:rsid w:val="005F4BCF"/>
    <w:rsid w:val="00602C14"/>
    <w:rsid w:val="00620097"/>
    <w:rsid w:val="00623C12"/>
    <w:rsid w:val="00625B75"/>
    <w:rsid w:val="006322FD"/>
    <w:rsid w:val="00634619"/>
    <w:rsid w:val="00637D9B"/>
    <w:rsid w:val="0064024D"/>
    <w:rsid w:val="006579C6"/>
    <w:rsid w:val="006631F1"/>
    <w:rsid w:val="00671E90"/>
    <w:rsid w:val="00672D83"/>
    <w:rsid w:val="0068029F"/>
    <w:rsid w:val="00681A8A"/>
    <w:rsid w:val="00684F1B"/>
    <w:rsid w:val="006914F2"/>
    <w:rsid w:val="006A263E"/>
    <w:rsid w:val="006A7531"/>
    <w:rsid w:val="006B417E"/>
    <w:rsid w:val="006B528B"/>
    <w:rsid w:val="006B6868"/>
    <w:rsid w:val="006C31A1"/>
    <w:rsid w:val="006D01D3"/>
    <w:rsid w:val="006D0827"/>
    <w:rsid w:val="006E1F27"/>
    <w:rsid w:val="007005AB"/>
    <w:rsid w:val="00700BF3"/>
    <w:rsid w:val="00703DB2"/>
    <w:rsid w:val="007069E0"/>
    <w:rsid w:val="00717D04"/>
    <w:rsid w:val="00722488"/>
    <w:rsid w:val="00722BEC"/>
    <w:rsid w:val="00723D83"/>
    <w:rsid w:val="007261E7"/>
    <w:rsid w:val="007322B0"/>
    <w:rsid w:val="0073648D"/>
    <w:rsid w:val="0075469F"/>
    <w:rsid w:val="00766E0E"/>
    <w:rsid w:val="0077225E"/>
    <w:rsid w:val="00782076"/>
    <w:rsid w:val="00787C9A"/>
    <w:rsid w:val="007914E2"/>
    <w:rsid w:val="0079598D"/>
    <w:rsid w:val="00796A97"/>
    <w:rsid w:val="007B005F"/>
    <w:rsid w:val="007B0720"/>
    <w:rsid w:val="007B31C4"/>
    <w:rsid w:val="007B7FFD"/>
    <w:rsid w:val="007C0260"/>
    <w:rsid w:val="007C1EDA"/>
    <w:rsid w:val="007C72C4"/>
    <w:rsid w:val="007D4ECC"/>
    <w:rsid w:val="007E4E59"/>
    <w:rsid w:val="007F0FE3"/>
    <w:rsid w:val="007F4455"/>
    <w:rsid w:val="00815A44"/>
    <w:rsid w:val="00822A44"/>
    <w:rsid w:val="00834979"/>
    <w:rsid w:val="008457FA"/>
    <w:rsid w:val="00846443"/>
    <w:rsid w:val="00856D94"/>
    <w:rsid w:val="0085774C"/>
    <w:rsid w:val="008618A9"/>
    <w:rsid w:val="00872110"/>
    <w:rsid w:val="008734AD"/>
    <w:rsid w:val="00881A51"/>
    <w:rsid w:val="00887484"/>
    <w:rsid w:val="00896CE2"/>
    <w:rsid w:val="008A0FDC"/>
    <w:rsid w:val="008A2AC0"/>
    <w:rsid w:val="008C4503"/>
    <w:rsid w:val="008C7149"/>
    <w:rsid w:val="008E3375"/>
    <w:rsid w:val="008E5BAE"/>
    <w:rsid w:val="008F4048"/>
    <w:rsid w:val="008F4603"/>
    <w:rsid w:val="008F468A"/>
    <w:rsid w:val="009000C4"/>
    <w:rsid w:val="00904EDE"/>
    <w:rsid w:val="00915096"/>
    <w:rsid w:val="00930FA0"/>
    <w:rsid w:val="009312CC"/>
    <w:rsid w:val="009418B8"/>
    <w:rsid w:val="00944611"/>
    <w:rsid w:val="00973E5A"/>
    <w:rsid w:val="00982DC0"/>
    <w:rsid w:val="009919FD"/>
    <w:rsid w:val="009A383C"/>
    <w:rsid w:val="009A4875"/>
    <w:rsid w:val="009D4EA5"/>
    <w:rsid w:val="009E2834"/>
    <w:rsid w:val="009E3B0C"/>
    <w:rsid w:val="009F2DEE"/>
    <w:rsid w:val="009F5097"/>
    <w:rsid w:val="009F7E6C"/>
    <w:rsid w:val="00A07FA4"/>
    <w:rsid w:val="00A1301F"/>
    <w:rsid w:val="00A15A38"/>
    <w:rsid w:val="00A21957"/>
    <w:rsid w:val="00A271CD"/>
    <w:rsid w:val="00A367FF"/>
    <w:rsid w:val="00A40AC2"/>
    <w:rsid w:val="00A50FC8"/>
    <w:rsid w:val="00A52996"/>
    <w:rsid w:val="00A568EB"/>
    <w:rsid w:val="00A80125"/>
    <w:rsid w:val="00A855FF"/>
    <w:rsid w:val="00A90BA4"/>
    <w:rsid w:val="00AA478F"/>
    <w:rsid w:val="00AB0160"/>
    <w:rsid w:val="00AB44A1"/>
    <w:rsid w:val="00AC5F09"/>
    <w:rsid w:val="00AD4041"/>
    <w:rsid w:val="00AD5C16"/>
    <w:rsid w:val="00AD6ACF"/>
    <w:rsid w:val="00AE190C"/>
    <w:rsid w:val="00AE2177"/>
    <w:rsid w:val="00AE26B4"/>
    <w:rsid w:val="00AE4E16"/>
    <w:rsid w:val="00AE569C"/>
    <w:rsid w:val="00B04622"/>
    <w:rsid w:val="00B124EE"/>
    <w:rsid w:val="00B1258E"/>
    <w:rsid w:val="00B13BB4"/>
    <w:rsid w:val="00B4093B"/>
    <w:rsid w:val="00B417F9"/>
    <w:rsid w:val="00B44471"/>
    <w:rsid w:val="00B521F2"/>
    <w:rsid w:val="00B539F8"/>
    <w:rsid w:val="00B6080C"/>
    <w:rsid w:val="00B66DBA"/>
    <w:rsid w:val="00B8302B"/>
    <w:rsid w:val="00B84E92"/>
    <w:rsid w:val="00BA184B"/>
    <w:rsid w:val="00BC2025"/>
    <w:rsid w:val="00BD08C1"/>
    <w:rsid w:val="00BD70CF"/>
    <w:rsid w:val="00BE283F"/>
    <w:rsid w:val="00BE7398"/>
    <w:rsid w:val="00BE73B1"/>
    <w:rsid w:val="00BE7B02"/>
    <w:rsid w:val="00C02DE8"/>
    <w:rsid w:val="00C05F49"/>
    <w:rsid w:val="00C13BE4"/>
    <w:rsid w:val="00C16C64"/>
    <w:rsid w:val="00C2030F"/>
    <w:rsid w:val="00C20EF1"/>
    <w:rsid w:val="00C225FD"/>
    <w:rsid w:val="00C3483B"/>
    <w:rsid w:val="00C539DE"/>
    <w:rsid w:val="00C56257"/>
    <w:rsid w:val="00C6554C"/>
    <w:rsid w:val="00C7255C"/>
    <w:rsid w:val="00C73386"/>
    <w:rsid w:val="00C75BEB"/>
    <w:rsid w:val="00C92DE1"/>
    <w:rsid w:val="00C94CC6"/>
    <w:rsid w:val="00CA2E12"/>
    <w:rsid w:val="00CB567C"/>
    <w:rsid w:val="00CD0AF2"/>
    <w:rsid w:val="00CD0C6C"/>
    <w:rsid w:val="00CD0F06"/>
    <w:rsid w:val="00CD256B"/>
    <w:rsid w:val="00CD4F94"/>
    <w:rsid w:val="00CD5B3B"/>
    <w:rsid w:val="00CE5831"/>
    <w:rsid w:val="00D05E66"/>
    <w:rsid w:val="00D06E9C"/>
    <w:rsid w:val="00D11663"/>
    <w:rsid w:val="00D11BF1"/>
    <w:rsid w:val="00D1328B"/>
    <w:rsid w:val="00D14EE2"/>
    <w:rsid w:val="00D20C32"/>
    <w:rsid w:val="00D22B19"/>
    <w:rsid w:val="00D27A14"/>
    <w:rsid w:val="00D3124F"/>
    <w:rsid w:val="00D34279"/>
    <w:rsid w:val="00D44463"/>
    <w:rsid w:val="00D62431"/>
    <w:rsid w:val="00D86F1D"/>
    <w:rsid w:val="00D95EE7"/>
    <w:rsid w:val="00D96A31"/>
    <w:rsid w:val="00DA2381"/>
    <w:rsid w:val="00DC08D4"/>
    <w:rsid w:val="00DC0D45"/>
    <w:rsid w:val="00DF42F3"/>
    <w:rsid w:val="00DF6912"/>
    <w:rsid w:val="00E11F3F"/>
    <w:rsid w:val="00E42F45"/>
    <w:rsid w:val="00E53964"/>
    <w:rsid w:val="00E55981"/>
    <w:rsid w:val="00E562FC"/>
    <w:rsid w:val="00E63F46"/>
    <w:rsid w:val="00E66338"/>
    <w:rsid w:val="00E67B70"/>
    <w:rsid w:val="00E75DB3"/>
    <w:rsid w:val="00E85DBD"/>
    <w:rsid w:val="00EA0F6C"/>
    <w:rsid w:val="00EA21E9"/>
    <w:rsid w:val="00EA282B"/>
    <w:rsid w:val="00EA52D3"/>
    <w:rsid w:val="00EA5628"/>
    <w:rsid w:val="00EA61D6"/>
    <w:rsid w:val="00EA79B1"/>
    <w:rsid w:val="00EB07F0"/>
    <w:rsid w:val="00EB5EC6"/>
    <w:rsid w:val="00EC67A8"/>
    <w:rsid w:val="00EE1146"/>
    <w:rsid w:val="00EF41D8"/>
    <w:rsid w:val="00F20FDD"/>
    <w:rsid w:val="00F22E0C"/>
    <w:rsid w:val="00F23F04"/>
    <w:rsid w:val="00F30C27"/>
    <w:rsid w:val="00F44190"/>
    <w:rsid w:val="00F53E90"/>
    <w:rsid w:val="00F571E5"/>
    <w:rsid w:val="00F659E6"/>
    <w:rsid w:val="00F67D20"/>
    <w:rsid w:val="00F77807"/>
    <w:rsid w:val="00F837BE"/>
    <w:rsid w:val="00F86F59"/>
    <w:rsid w:val="00FB5B18"/>
    <w:rsid w:val="00FB6D27"/>
    <w:rsid w:val="00FC2E87"/>
    <w:rsid w:val="00FC4284"/>
    <w:rsid w:val="00FC6E57"/>
    <w:rsid w:val="00FC736D"/>
    <w:rsid w:val="00FC7A98"/>
    <w:rsid w:val="00FE0A73"/>
    <w:rsid w:val="00FE0E67"/>
    <w:rsid w:val="00FE1FD1"/>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unhideWhenUsed/>
    <w:rsid w:val="00AB0160"/>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d2edcug0">
    <w:name w:val="d2edcug0"/>
    <w:basedOn w:val="DefaultParagraphFont"/>
    <w:rsid w:val="000D1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unhideWhenUsed/>
    <w:rsid w:val="00AB0160"/>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d2edcug0">
    <w:name w:val="d2edcug0"/>
    <w:basedOn w:val="DefaultParagraphFont"/>
    <w:rsid w:val="000D1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NA~1.POP\AppData\Local\Temp\notes1F8A28\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BB313-8FF7-49ED-814D-64EC5A46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2019.dotx</Template>
  <TotalTime>463</TotalTime>
  <Pages>1</Pages>
  <Words>288</Words>
  <Characters>1645</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1930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Teodora POPA</dc:creator>
  <cp:lastModifiedBy>ALINA GHERCIOIU</cp:lastModifiedBy>
  <cp:revision>64</cp:revision>
  <cp:lastPrinted>2020-10-26T08:53:00Z</cp:lastPrinted>
  <dcterms:created xsi:type="dcterms:W3CDTF">2019-11-08T10:58:00Z</dcterms:created>
  <dcterms:modified xsi:type="dcterms:W3CDTF">2020-10-26T10:29:00Z</dcterms:modified>
</cp:coreProperties>
</file>