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11" w:rsidRPr="00F73F11" w:rsidRDefault="00591A8C" w:rsidP="00DF1D0B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>Num</w:t>
      </w:r>
      <w:r w:rsidR="00C51AF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r de </w:t>
      </w:r>
      <w:r w:rsidR="00C51AF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nregistrare la angajator . . . . . . . . . . data . . . . . . . . . .</w:t>
      </w:r>
      <w:r w:rsidRPr="00F73F1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D343548" wp14:editId="26ECD2F0">
                <wp:extent cx="304800" cy="304800"/>
                <wp:effectExtent l="0" t="0" r="0" b="0"/>
                <wp:docPr id="6" name="AutoShape 4" descr="https://imagini.lege5.ro:444/Ajax/GetBannersImages?name=4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https://imagini.lege5.ro:444/Ajax/GetBannersImages?name=4" href="https://legestart.ro/declaratia-unica-privind-impozitul-pe-venit-cas-si-cass-aplicabila-din-2018-formularul-600-inclus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6DC2">
        <w:rPr>
          <w:rFonts w:ascii="Times New Roman" w:eastAsia="Times New Roman" w:hAnsi="Times New Roman" w:cs="Times New Roman"/>
          <w:sz w:val="24"/>
          <w:szCs w:val="24"/>
        </w:rPr>
        <w:tab/>
      </w:r>
      <w:r w:rsidRPr="00186DC2">
        <w:rPr>
          <w:rFonts w:ascii="Times New Roman" w:eastAsia="Times New Roman" w:hAnsi="Times New Roman" w:cs="Times New Roman"/>
          <w:sz w:val="24"/>
          <w:szCs w:val="24"/>
        </w:rPr>
        <w:tab/>
      </w:r>
      <w:r w:rsidRPr="00186DC2">
        <w:rPr>
          <w:rFonts w:ascii="Times New Roman" w:eastAsia="Times New Roman" w:hAnsi="Times New Roman" w:cs="Times New Roman"/>
          <w:sz w:val="24"/>
          <w:szCs w:val="24"/>
        </w:rPr>
        <w:tab/>
      </w:r>
      <w:r w:rsidRPr="00186DC2">
        <w:rPr>
          <w:rFonts w:ascii="Times New Roman" w:eastAsia="Times New Roman" w:hAnsi="Times New Roman" w:cs="Times New Roman"/>
          <w:sz w:val="24"/>
          <w:szCs w:val="24"/>
        </w:rPr>
        <w:tab/>
      </w:r>
      <w:r w:rsidRPr="00186DC2">
        <w:rPr>
          <w:rFonts w:ascii="Times New Roman" w:eastAsia="Times New Roman" w:hAnsi="Times New Roman" w:cs="Times New Roman"/>
          <w:bCs/>
          <w:sz w:val="24"/>
          <w:szCs w:val="24"/>
        </w:rPr>
        <w:t>Anexa nr.</w:t>
      </w:r>
      <w:r w:rsidR="00F73F11" w:rsidRPr="00F73F11">
        <w:rPr>
          <w:rFonts w:ascii="Times New Roman" w:eastAsia="Times New Roman" w:hAnsi="Times New Roman" w:cs="Times New Roman"/>
          <w:bCs/>
          <w:sz w:val="24"/>
          <w:szCs w:val="24"/>
        </w:rPr>
        <w:t xml:space="preserve"> 7 (Anexa nr. 26 la Normele metodologice aprobate</w:t>
      </w:r>
      <w:r w:rsidRPr="00186D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3F11" w:rsidRPr="00F73F11">
        <w:rPr>
          <w:rFonts w:ascii="Times New Roman" w:eastAsia="Times New Roman" w:hAnsi="Times New Roman" w:cs="Times New Roman"/>
          <w:bCs/>
          <w:sz w:val="24"/>
          <w:szCs w:val="24"/>
        </w:rPr>
        <w:t>prin Hot</w:t>
      </w:r>
      <w:r w:rsidR="00C51AF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F73F11" w:rsidRPr="00F73F11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C51AF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F73F11" w:rsidRPr="00F73F11">
        <w:rPr>
          <w:rFonts w:ascii="Times New Roman" w:eastAsia="Times New Roman" w:hAnsi="Times New Roman" w:cs="Times New Roman"/>
          <w:bCs/>
          <w:sz w:val="24"/>
          <w:szCs w:val="24"/>
        </w:rPr>
        <w:t>rea Guvernului nr. 174/2002)</w:t>
      </w:r>
    </w:p>
    <w:p w:rsidR="00591A8C" w:rsidRPr="00186DC2" w:rsidRDefault="00F73F11" w:rsidP="00591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86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86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86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86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86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86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86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86D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73F11">
        <w:rPr>
          <w:rFonts w:ascii="Times New Roman" w:eastAsia="Times New Roman" w:hAnsi="Times New Roman" w:cs="Times New Roman"/>
          <w:b/>
          <w:bCs/>
          <w:sz w:val="24"/>
          <w:szCs w:val="24"/>
        </w:rPr>
        <w:t>ADEVERINȚĂ</w:t>
      </w:r>
    </w:p>
    <w:p w:rsidR="00F73F11" w:rsidRPr="0034477E" w:rsidRDefault="00F73F11" w:rsidP="00DF1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77E">
        <w:rPr>
          <w:rFonts w:ascii="Times New Roman" w:eastAsia="Times New Roman" w:hAnsi="Times New Roman" w:cs="Times New Roman"/>
          <w:b/>
          <w:sz w:val="24"/>
          <w:szCs w:val="24"/>
        </w:rPr>
        <w:t>A. Date de identificare</w:t>
      </w:r>
    </w:p>
    <w:p w:rsidR="00F73F11" w:rsidRPr="00F73F11" w:rsidRDefault="00F73F11" w:rsidP="00DF1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>Denumire/nume . . . . . . . . . .</w:t>
      </w:r>
    </w:p>
    <w:p w:rsidR="00F73F11" w:rsidRPr="00F73F11" w:rsidRDefault="00F73F11" w:rsidP="00F7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Codul unic de </w:t>
      </w:r>
      <w:r w:rsidR="00C51AF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nregistrare/codul fiscal . . . . . . . . . .</w:t>
      </w:r>
    </w:p>
    <w:p w:rsidR="00F73F11" w:rsidRPr="00F73F11" w:rsidRDefault="00F73F11" w:rsidP="00F7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>Cod CAEN . . . . . . . . . .</w:t>
      </w:r>
    </w:p>
    <w:p w:rsidR="00F73F11" w:rsidRPr="00F73F11" w:rsidRDefault="00F73F11" w:rsidP="00F7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>Adresa . . . . . . . . . .</w:t>
      </w:r>
    </w:p>
    <w:p w:rsidR="00F73F11" w:rsidRPr="00F73F11" w:rsidRDefault="00F73F11" w:rsidP="00F7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>Telefon/fax . . . . . . . . . .</w:t>
      </w:r>
    </w:p>
    <w:p w:rsidR="00F73F11" w:rsidRPr="00F73F11" w:rsidRDefault="00F73F11" w:rsidP="00F7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>E-mail/pagin</w:t>
      </w:r>
      <w:r w:rsidR="00C51AF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internet . . . . . . . . . .</w:t>
      </w:r>
    </w:p>
    <w:p w:rsidR="00F73F11" w:rsidRPr="0034477E" w:rsidRDefault="00F73F11" w:rsidP="00591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77E">
        <w:rPr>
          <w:rFonts w:ascii="Times New Roman" w:eastAsia="Times New Roman" w:hAnsi="Times New Roman" w:cs="Times New Roman"/>
          <w:b/>
          <w:sz w:val="24"/>
          <w:szCs w:val="24"/>
        </w:rPr>
        <w:t>B. Date pentru stabilirea în condi</w:t>
      </w:r>
      <w:r w:rsidR="00C51AF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34477E">
        <w:rPr>
          <w:rFonts w:ascii="Times New Roman" w:eastAsia="Times New Roman" w:hAnsi="Times New Roman" w:cs="Times New Roman"/>
          <w:b/>
          <w:sz w:val="24"/>
          <w:szCs w:val="24"/>
        </w:rPr>
        <w:t>iile legii a indemniza</w:t>
      </w:r>
      <w:r w:rsidR="00C51AF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34477E">
        <w:rPr>
          <w:rFonts w:ascii="Times New Roman" w:eastAsia="Times New Roman" w:hAnsi="Times New Roman" w:cs="Times New Roman"/>
          <w:b/>
          <w:sz w:val="24"/>
          <w:szCs w:val="24"/>
        </w:rPr>
        <w:t xml:space="preserve">iei de </w:t>
      </w:r>
      <w:r w:rsidR="00C51AFD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34477E">
        <w:rPr>
          <w:rFonts w:ascii="Times New Roman" w:eastAsia="Times New Roman" w:hAnsi="Times New Roman" w:cs="Times New Roman"/>
          <w:b/>
          <w:sz w:val="24"/>
          <w:szCs w:val="24"/>
        </w:rPr>
        <w:t>omaj</w:t>
      </w:r>
    </w:p>
    <w:p w:rsidR="00F73F11" w:rsidRPr="00186DC2" w:rsidRDefault="00F73F11" w:rsidP="00591A8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7E">
        <w:rPr>
          <w:rFonts w:ascii="Times New Roman" w:eastAsia="Times New Roman" w:hAnsi="Times New Roman" w:cs="Times New Roman"/>
          <w:b/>
          <w:sz w:val="24"/>
          <w:szCs w:val="24"/>
        </w:rPr>
        <w:t>B.1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. Pentru doamna/domnul . . . . . . . . . ., CNP . . . . . . . . . .,</w:t>
      </w:r>
      <w:r w:rsidR="00C51AFD">
        <w:rPr>
          <w:rFonts w:ascii="Times New Roman" w:eastAsia="Times New Roman" w:hAnsi="Times New Roman" w:cs="Times New Roman"/>
          <w:sz w:val="24"/>
          <w:szCs w:val="24"/>
        </w:rPr>
        <w:t xml:space="preserve"> actul de identitate seria  numa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rul , veniturile care constituie baz</w:t>
      </w:r>
      <w:r w:rsidR="00C51AFD">
        <w:rPr>
          <w:rFonts w:ascii="Times New Roman" w:eastAsia="Times New Roman" w:hAnsi="Times New Roman" w:cs="Times New Roman"/>
          <w:sz w:val="24"/>
          <w:szCs w:val="24"/>
        </w:rPr>
        <w:t>a de calcul al indemnizatiei de s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omaj și veniturile care constituie baz</w:t>
      </w:r>
      <w:r w:rsidR="00C51AF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de calcul al contribu</w:t>
      </w:r>
      <w:r w:rsidR="00C51AF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iei asigurătorie pentru munc</w:t>
      </w:r>
      <w:r w:rsidR="00C51AF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, datorat</w:t>
      </w:r>
      <w:r w:rsidR="00C51AF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de angajator la bugetul de stat, potrivit prevederilor legale, pentru ultimele 12 luni </w:t>
      </w:r>
      <w:r w:rsidR="00C51AF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n care s-a realizat stagiul de cotizare în sistemul asigurărilor pentru </w:t>
      </w:r>
      <w:r w:rsidR="00C51AFD">
        <w:rPr>
          <w:rFonts w:ascii="Times New Roman" w:eastAsia="Times New Roman" w:hAnsi="Times New Roman" w:cs="Times New Roman"/>
          <w:sz w:val="24"/>
          <w:szCs w:val="24"/>
        </w:rPr>
        <w:t>somaj și s-a datorat aceasta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contribu</w:t>
      </w:r>
      <w:r w:rsidR="00C51AF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ie sunt: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2552"/>
        <w:gridCol w:w="2835"/>
        <w:gridCol w:w="4018"/>
      </w:tblGrid>
      <w:tr w:rsidR="00186DC2" w:rsidRPr="00186DC2" w:rsidTr="00F73F11">
        <w:tc>
          <w:tcPr>
            <w:tcW w:w="675" w:type="dxa"/>
          </w:tcPr>
          <w:p w:rsidR="00F73F11" w:rsidRPr="00186DC2" w:rsidRDefault="00F73F11" w:rsidP="000F3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11">
              <w:rPr>
                <w:rFonts w:ascii="Times New Roman" w:eastAsia="Times New Roman" w:hAnsi="Times New Roman" w:cs="Times New Roman"/>
                <w:sz w:val="24"/>
                <w:szCs w:val="24"/>
              </w:rPr>
              <w:t>Nr. crt</w:t>
            </w:r>
          </w:p>
        </w:tc>
        <w:tc>
          <w:tcPr>
            <w:tcW w:w="2127" w:type="dxa"/>
          </w:tcPr>
          <w:p w:rsidR="00F73F11" w:rsidRPr="00186DC2" w:rsidRDefault="00F73F11" w:rsidP="000F3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11">
              <w:rPr>
                <w:rFonts w:ascii="Times New Roman" w:eastAsia="Times New Roman" w:hAnsi="Times New Roman" w:cs="Times New Roman"/>
                <w:sz w:val="24"/>
                <w:szCs w:val="24"/>
              </w:rPr>
              <w:t>Luna și anul</w:t>
            </w:r>
          </w:p>
        </w:tc>
        <w:tc>
          <w:tcPr>
            <w:tcW w:w="2409" w:type="dxa"/>
          </w:tcPr>
          <w:p w:rsidR="00F73F11" w:rsidRPr="00186DC2" w:rsidRDefault="00F73F11" w:rsidP="00C51A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11">
              <w:rPr>
                <w:rFonts w:ascii="Times New Roman" w:eastAsia="Times New Roman" w:hAnsi="Times New Roman" w:cs="Times New Roman"/>
                <w:sz w:val="24"/>
                <w:szCs w:val="24"/>
              </w:rPr>
              <w:t>Baza de calcul Contribuție asigur</w:t>
            </w:r>
            <w:r w:rsidR="00C51AF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73F11">
              <w:rPr>
                <w:rFonts w:ascii="Times New Roman" w:eastAsia="Times New Roman" w:hAnsi="Times New Roman" w:cs="Times New Roman"/>
                <w:sz w:val="24"/>
                <w:szCs w:val="24"/>
              </w:rPr>
              <w:t>torie pentru munc</w:t>
            </w:r>
            <w:r w:rsidR="00C51AF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7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(BC)</w:t>
            </w:r>
          </w:p>
        </w:tc>
        <w:tc>
          <w:tcPr>
            <w:tcW w:w="2552" w:type="dxa"/>
          </w:tcPr>
          <w:p w:rsidR="00F73F11" w:rsidRPr="00186DC2" w:rsidRDefault="00F73F11" w:rsidP="00C51A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11"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r w:rsidR="00C5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calcul al indemnizatiei de s</w:t>
            </w:r>
            <w:r w:rsidRPr="00F73F11">
              <w:rPr>
                <w:rFonts w:ascii="Times New Roman" w:eastAsia="Times New Roman" w:hAnsi="Times New Roman" w:cs="Times New Roman"/>
                <w:sz w:val="24"/>
                <w:szCs w:val="24"/>
              </w:rPr>
              <w:t>omaj (BCIS)</w:t>
            </w:r>
          </w:p>
        </w:tc>
        <w:tc>
          <w:tcPr>
            <w:tcW w:w="2835" w:type="dxa"/>
          </w:tcPr>
          <w:tbl>
            <w:tblPr>
              <w:tblW w:w="258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7"/>
            </w:tblGrid>
            <w:tr w:rsidR="00186DC2" w:rsidRPr="00186DC2" w:rsidTr="00EA04D2">
              <w:trPr>
                <w:trHeight w:val="118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3F11" w:rsidRPr="00F73F11" w:rsidRDefault="00F73F11" w:rsidP="00BD6C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3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</w:t>
                  </w:r>
                  <w:r w:rsidR="00BD6C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arul de inregistrare a declarat</w:t>
                  </w:r>
                  <w:r w:rsidRPr="00F73F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iei lunare validate</w:t>
                  </w:r>
                </w:p>
              </w:tc>
            </w:tr>
          </w:tbl>
          <w:p w:rsidR="00F73F11" w:rsidRPr="00186DC2" w:rsidRDefault="00F73F11" w:rsidP="000F3F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F73F11" w:rsidRPr="00186DC2" w:rsidRDefault="00F73F11" w:rsidP="00BD6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11">
              <w:rPr>
                <w:rFonts w:ascii="Times New Roman" w:eastAsia="Times New Roman" w:hAnsi="Times New Roman" w:cs="Times New Roman"/>
                <w:sz w:val="24"/>
                <w:szCs w:val="24"/>
              </w:rPr>
              <w:t>Natura venit</w:t>
            </w:r>
            <w:r w:rsidR="00BD6CE2">
              <w:rPr>
                <w:rFonts w:ascii="Times New Roman" w:eastAsia="Times New Roman" w:hAnsi="Times New Roman" w:cs="Times New Roman"/>
                <w:sz w:val="24"/>
                <w:szCs w:val="24"/>
              </w:rPr>
              <w:t>urilor din care este constituita</w:t>
            </w:r>
            <w:r w:rsidRPr="00F7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baza de calcul al indemniza</w:t>
            </w:r>
            <w:r w:rsidR="00BD6CE2">
              <w:rPr>
                <w:rFonts w:ascii="Times New Roman" w:eastAsia="Times New Roman" w:hAnsi="Times New Roman" w:cs="Times New Roman"/>
                <w:sz w:val="24"/>
                <w:szCs w:val="24"/>
              </w:rPr>
              <w:t>tiei de s</w:t>
            </w:r>
            <w:r w:rsidRPr="00F73F11">
              <w:rPr>
                <w:rFonts w:ascii="Times New Roman" w:eastAsia="Times New Roman" w:hAnsi="Times New Roman" w:cs="Times New Roman"/>
                <w:sz w:val="24"/>
                <w:szCs w:val="24"/>
              </w:rPr>
              <w:t>omaj</w:t>
            </w:r>
          </w:p>
        </w:tc>
      </w:tr>
      <w:tr w:rsidR="00186DC2" w:rsidRPr="00186DC2" w:rsidTr="00F73F11">
        <w:tc>
          <w:tcPr>
            <w:tcW w:w="675" w:type="dxa"/>
          </w:tcPr>
          <w:p w:rsidR="00F73F11" w:rsidRPr="00186DC2" w:rsidRDefault="00F73F11" w:rsidP="00F73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73F11" w:rsidRPr="00186DC2" w:rsidRDefault="00F73F11" w:rsidP="00F73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73F11" w:rsidRPr="00186DC2" w:rsidRDefault="00F73F11" w:rsidP="00F73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73F11" w:rsidRPr="00186DC2" w:rsidRDefault="00F73F11" w:rsidP="00F73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73F11" w:rsidRPr="00186DC2" w:rsidRDefault="00F73F11" w:rsidP="00F73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8" w:type="dxa"/>
          </w:tcPr>
          <w:p w:rsidR="00F73F11" w:rsidRPr="00186DC2" w:rsidRDefault="00F73F11" w:rsidP="00F73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DC2" w:rsidRPr="00186DC2" w:rsidTr="00F73F11">
        <w:tc>
          <w:tcPr>
            <w:tcW w:w="675" w:type="dxa"/>
          </w:tcPr>
          <w:p w:rsidR="00F73F11" w:rsidRPr="00186DC2" w:rsidRDefault="00690FEE" w:rsidP="00690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DC2" w:rsidRPr="00186DC2" w:rsidTr="00F73F11">
        <w:tc>
          <w:tcPr>
            <w:tcW w:w="675" w:type="dxa"/>
          </w:tcPr>
          <w:p w:rsidR="00F73F11" w:rsidRPr="00186DC2" w:rsidRDefault="00690FEE" w:rsidP="00690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DC2" w:rsidRPr="00186DC2" w:rsidTr="00F73F11">
        <w:tc>
          <w:tcPr>
            <w:tcW w:w="675" w:type="dxa"/>
          </w:tcPr>
          <w:p w:rsidR="00F73F11" w:rsidRPr="00186DC2" w:rsidRDefault="00690FEE" w:rsidP="00690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DC2" w:rsidRPr="00186DC2" w:rsidTr="00F73F11">
        <w:tc>
          <w:tcPr>
            <w:tcW w:w="675" w:type="dxa"/>
          </w:tcPr>
          <w:p w:rsidR="00F73F11" w:rsidRPr="00186DC2" w:rsidRDefault="00690FEE" w:rsidP="00690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F73F11" w:rsidRPr="00186DC2" w:rsidRDefault="00F73F11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FEE" w:rsidRPr="00186DC2" w:rsidTr="00F73F11">
        <w:tc>
          <w:tcPr>
            <w:tcW w:w="675" w:type="dxa"/>
          </w:tcPr>
          <w:p w:rsidR="00690FEE" w:rsidRPr="00186DC2" w:rsidRDefault="00690FEE" w:rsidP="00690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FEE" w:rsidRPr="00186DC2" w:rsidTr="00F73F11">
        <w:tc>
          <w:tcPr>
            <w:tcW w:w="675" w:type="dxa"/>
          </w:tcPr>
          <w:p w:rsidR="00690FEE" w:rsidRPr="00186DC2" w:rsidRDefault="00690FEE" w:rsidP="00690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FEE" w:rsidRPr="00186DC2" w:rsidTr="00F73F11">
        <w:tc>
          <w:tcPr>
            <w:tcW w:w="675" w:type="dxa"/>
          </w:tcPr>
          <w:p w:rsidR="00690FEE" w:rsidRPr="00186DC2" w:rsidRDefault="00690FEE" w:rsidP="00690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FEE" w:rsidRPr="00186DC2" w:rsidTr="00F73F11">
        <w:tc>
          <w:tcPr>
            <w:tcW w:w="675" w:type="dxa"/>
          </w:tcPr>
          <w:p w:rsidR="00690FEE" w:rsidRPr="00186DC2" w:rsidRDefault="00690FEE" w:rsidP="00690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FEE" w:rsidRPr="00186DC2" w:rsidTr="00F73F11">
        <w:tc>
          <w:tcPr>
            <w:tcW w:w="675" w:type="dxa"/>
          </w:tcPr>
          <w:p w:rsidR="00690FEE" w:rsidRPr="00186DC2" w:rsidRDefault="00690FEE" w:rsidP="00690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FEE" w:rsidRPr="00186DC2" w:rsidTr="00F73F11">
        <w:tc>
          <w:tcPr>
            <w:tcW w:w="675" w:type="dxa"/>
          </w:tcPr>
          <w:p w:rsidR="00690FEE" w:rsidRPr="00186DC2" w:rsidRDefault="00690FEE" w:rsidP="00690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FEE" w:rsidRPr="00186DC2" w:rsidTr="00F73F11">
        <w:tc>
          <w:tcPr>
            <w:tcW w:w="675" w:type="dxa"/>
          </w:tcPr>
          <w:p w:rsidR="00690FEE" w:rsidRPr="00186DC2" w:rsidRDefault="00690FEE" w:rsidP="00690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FEE" w:rsidRPr="00186DC2" w:rsidTr="00F73F11">
        <w:tc>
          <w:tcPr>
            <w:tcW w:w="675" w:type="dxa"/>
          </w:tcPr>
          <w:p w:rsidR="00690FEE" w:rsidRPr="00186DC2" w:rsidRDefault="00690FEE" w:rsidP="00690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</w:tcPr>
          <w:p w:rsidR="00690FEE" w:rsidRPr="00186DC2" w:rsidRDefault="00690FEE" w:rsidP="00F73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1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727"/>
        <w:gridCol w:w="66"/>
        <w:gridCol w:w="66"/>
        <w:gridCol w:w="66"/>
        <w:gridCol w:w="81"/>
      </w:tblGrid>
      <w:tr w:rsidR="00186DC2" w:rsidRPr="00186DC2" w:rsidTr="00015B64">
        <w:trPr>
          <w:trHeight w:val="5"/>
          <w:tblCellSpacing w:w="15" w:type="dxa"/>
        </w:trPr>
        <w:tc>
          <w:tcPr>
            <w:tcW w:w="0" w:type="auto"/>
            <w:vAlign w:val="center"/>
            <w:hideMark/>
          </w:tcPr>
          <w:p w:rsidR="00F73F11" w:rsidRPr="00F73F11" w:rsidRDefault="00F73F11" w:rsidP="00F7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3F11" w:rsidRPr="00F73F11" w:rsidRDefault="00F73F11" w:rsidP="00F7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3F11" w:rsidRPr="00F73F11" w:rsidRDefault="00F73F11" w:rsidP="00F7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3F11" w:rsidRPr="00F73F11" w:rsidRDefault="00F73F11" w:rsidP="00F7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3F11" w:rsidRPr="00F73F11" w:rsidRDefault="00F73F11" w:rsidP="00F7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3F11" w:rsidRPr="00F73F11" w:rsidRDefault="00F73F11" w:rsidP="00F7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3F11" w:rsidRPr="00F73F11" w:rsidRDefault="00F73F11" w:rsidP="00F7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86DC2" w:rsidRPr="00186DC2" w:rsidTr="00015B64">
        <w:trPr>
          <w:trHeight w:val="431"/>
          <w:tblCellSpacing w:w="15" w:type="dxa"/>
        </w:trPr>
        <w:tc>
          <w:tcPr>
            <w:tcW w:w="0" w:type="auto"/>
            <w:vAlign w:val="center"/>
          </w:tcPr>
          <w:p w:rsidR="00F73F11" w:rsidRPr="00F73F11" w:rsidRDefault="00F73F11" w:rsidP="00F7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73F11" w:rsidRPr="00F73F11" w:rsidRDefault="00F73F11" w:rsidP="00F7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1D0B" w:rsidRPr="00186DC2" w:rsidRDefault="00DF1D0B" w:rsidP="00F7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0B" w:rsidRPr="00186DC2" w:rsidRDefault="00DF1D0B" w:rsidP="00F7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D0B" w:rsidRPr="00186DC2" w:rsidRDefault="00DF1D0B" w:rsidP="00F7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F11" w:rsidRPr="00F73F11" w:rsidRDefault="0098003B" w:rsidP="00F7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NOTA</w:t>
            </w:r>
          </w:p>
        </w:tc>
        <w:tc>
          <w:tcPr>
            <w:tcW w:w="0" w:type="auto"/>
            <w:vAlign w:val="center"/>
          </w:tcPr>
          <w:p w:rsidR="00F73F11" w:rsidRPr="00F73F11" w:rsidRDefault="00F73F11" w:rsidP="00F7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73F11" w:rsidRPr="00F73F11" w:rsidRDefault="00F73F11" w:rsidP="00F7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73F11" w:rsidRPr="00F73F11" w:rsidRDefault="00F73F11" w:rsidP="00F7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73F11" w:rsidRPr="00F73F11" w:rsidRDefault="00F73F11" w:rsidP="00F7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lastRenderedPageBreak/>
        <w:t>- Se completează descresc</w:t>
      </w:r>
      <w:r w:rsidR="001858DE">
        <w:rPr>
          <w:rFonts w:ascii="Times New Roman" w:eastAsia="Times New Roman" w:hAnsi="Times New Roman" w:cs="Times New Roman"/>
          <w:sz w:val="24"/>
          <w:szCs w:val="24"/>
        </w:rPr>
        <w:t>ator pentru maximum 12 luni 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 care s-</w:t>
      </w:r>
      <w:r w:rsidR="001858DE">
        <w:rPr>
          <w:rFonts w:ascii="Times New Roman" w:eastAsia="Times New Roman" w:hAnsi="Times New Roman" w:cs="Times New Roman"/>
          <w:sz w:val="24"/>
          <w:szCs w:val="24"/>
        </w:rPr>
        <w:t>a realizat stagiul de cotizare s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i pen</w:t>
      </w:r>
      <w:r w:rsidR="001858DE">
        <w:rPr>
          <w:rFonts w:ascii="Times New Roman" w:eastAsia="Times New Roman" w:hAnsi="Times New Roman" w:cs="Times New Roman"/>
          <w:sz w:val="24"/>
          <w:szCs w:val="24"/>
        </w:rPr>
        <w:t>tru care angajatorul are obligat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ia de a vira în contul bug</w:t>
      </w:r>
      <w:r w:rsidR="001858DE">
        <w:rPr>
          <w:rFonts w:ascii="Times New Roman" w:eastAsia="Times New Roman" w:hAnsi="Times New Roman" w:cs="Times New Roman"/>
          <w:sz w:val="24"/>
          <w:szCs w:val="24"/>
        </w:rPr>
        <w:t>etului de stat sumele reprezentand contributia asigura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torie pentru munc</w:t>
      </w:r>
      <w:r w:rsidR="001858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prev</w:t>
      </w:r>
      <w:r w:rsidR="001858DE">
        <w:rPr>
          <w:rFonts w:ascii="Times New Roman" w:eastAsia="Times New Roman" w:hAnsi="Times New Roman" w:cs="Times New Roman"/>
          <w:sz w:val="24"/>
          <w:szCs w:val="24"/>
        </w:rPr>
        <w:t>azute de lege, 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ncep</w:t>
      </w:r>
      <w:r w:rsidR="001858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nd cu luna </w:t>
      </w:r>
      <w:r w:rsidR="001858D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ncet</w:t>
      </w:r>
      <w:r w:rsidR="001858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rii raporturilor de munc</w:t>
      </w:r>
      <w:r w:rsidR="001858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sau de servic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iu ori a raporturilor juridice 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 temeiul c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rora persoana este asigurat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obligatoriu 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in sistemul asigura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rilor pentru 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omaj conform </w:t>
      </w:r>
      <w:hyperlink r:id="rId6" w:anchor="p-249543226" w:tgtFrame="_blank" w:history="1">
        <w:r w:rsidRPr="00F73F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art. 19</w:t>
        </w:r>
      </w:hyperlink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din Legea nr. 76/2002, cu modific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arile și completarile ulterioare. 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 situa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in care 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ncetarea se realizează cu data de 1 a lunii, se completeaz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descresc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tor pentru maximum 12 luni 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ncep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nd cu luna anterioar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lunii 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ncet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rii.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>- Coloana 3 - BC - baza lunar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 xml:space="preserve">e calcul al contribuției asiguratorie pentru munca determinata 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 conformitate cu dispozi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iile Legii </w:t>
      </w:r>
      <w:hyperlink r:id="rId7" w:tgtFrame="_blank" w:history="1">
        <w:r w:rsidRPr="00F73F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nr. 227/2015</w:t>
        </w:r>
      </w:hyperlink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60551B">
        <w:rPr>
          <w:rFonts w:ascii="Times New Roman" w:eastAsia="Times New Roman" w:hAnsi="Times New Roman" w:cs="Times New Roman"/>
          <w:sz w:val="24"/>
          <w:szCs w:val="24"/>
        </w:rPr>
        <w:t>rivind Codul fiscal, cu modificarile si completa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rile ulterioare.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>- Coloana 4 - BCIS - baza lunar</w:t>
      </w:r>
      <w:r w:rsidR="00683342">
        <w:rPr>
          <w:rFonts w:ascii="Times New Roman" w:eastAsia="Times New Roman" w:hAnsi="Times New Roman" w:cs="Times New Roman"/>
          <w:sz w:val="24"/>
          <w:szCs w:val="24"/>
        </w:rPr>
        <w:t>a de calcul al indemnizat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iei de </w:t>
      </w:r>
      <w:r w:rsidR="0068334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oma</w:t>
      </w:r>
      <w:r w:rsidR="00683342">
        <w:rPr>
          <w:rFonts w:ascii="Times New Roman" w:eastAsia="Times New Roman" w:hAnsi="Times New Roman" w:cs="Times New Roman"/>
          <w:sz w:val="24"/>
          <w:szCs w:val="24"/>
        </w:rPr>
        <w:t>j. Se completeaza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cu veniturile care constit</w:t>
      </w:r>
      <w:r w:rsidR="00683342">
        <w:rPr>
          <w:rFonts w:ascii="Times New Roman" w:eastAsia="Times New Roman" w:hAnsi="Times New Roman" w:cs="Times New Roman"/>
          <w:sz w:val="24"/>
          <w:szCs w:val="24"/>
        </w:rPr>
        <w:t>uie baza de calcul al indemnizat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iei de </w:t>
      </w:r>
      <w:r w:rsidR="0068334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omaj în conformitate cu art. 19</w:t>
      </w:r>
      <w:r w:rsidRPr="00F73F1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alin. (1) din Normele metodologice de aplicare a Legii </w:t>
      </w:r>
      <w:hyperlink r:id="rId8" w:tgtFrame="_blank" w:history="1">
        <w:r w:rsidRPr="00F73F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nr. 76/2002</w:t>
        </w:r>
      </w:hyperlink>
      <w:r w:rsidR="00683342">
        <w:rPr>
          <w:rFonts w:ascii="Times New Roman" w:eastAsia="Times New Roman" w:hAnsi="Times New Roman" w:cs="Times New Roman"/>
          <w:sz w:val="24"/>
          <w:szCs w:val="24"/>
        </w:rPr>
        <w:t xml:space="preserve"> privind sistemul asigurarilor pentru s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omaj </w:t>
      </w:r>
      <w:r w:rsidR="00683342">
        <w:rPr>
          <w:rFonts w:ascii="Times New Roman" w:eastAsia="Times New Roman" w:hAnsi="Times New Roman" w:cs="Times New Roman"/>
          <w:sz w:val="24"/>
          <w:szCs w:val="24"/>
        </w:rPr>
        <w:t>si stimularea ocupa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rii for</w:t>
      </w:r>
      <w:r w:rsidR="0068334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ei de munc</w:t>
      </w:r>
      <w:r w:rsidR="00683342">
        <w:rPr>
          <w:rFonts w:ascii="Times New Roman" w:eastAsia="Times New Roman" w:hAnsi="Times New Roman" w:cs="Times New Roman"/>
          <w:sz w:val="24"/>
          <w:szCs w:val="24"/>
        </w:rPr>
        <w:t>a, cu modifica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rile și complet</w:t>
      </w:r>
      <w:r w:rsidR="0068334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rile ulterioare. Pentru perioadele anterioare datei de 1.01.2018 se completeaz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cu baza lunar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de calcul asupra c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areia se aplică contributia individuala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la bugetul asigur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rilor pentru 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omaj 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 cota prev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zut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de lege, determinat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 conformitate cu dispozi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iile </w:t>
      </w:r>
      <w:hyperlink r:id="rId9" w:anchor="p-82435926" w:tgtFrame="_blank" w:history="1">
        <w:r w:rsidRPr="00F73F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titlului V</w:t>
        </w:r>
      </w:hyperlink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"Contribu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ii sociale obligatorii" cap. IV din Legea nr. 227/2015, cu modific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rile 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i complet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rile ulterioare, în vigoare p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4447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la data de 1 ianuarie 2018.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483B">
        <w:rPr>
          <w:rFonts w:ascii="Times New Roman" w:eastAsia="Times New Roman" w:hAnsi="Times New Roman" w:cs="Times New Roman"/>
          <w:sz w:val="24"/>
          <w:szCs w:val="24"/>
        </w:rPr>
        <w:t>Coloana 6 se completeaza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cu natura veniturilor din care este constituit</w:t>
      </w:r>
      <w:r w:rsidR="00F6483B">
        <w:rPr>
          <w:rFonts w:ascii="Times New Roman" w:eastAsia="Times New Roman" w:hAnsi="Times New Roman" w:cs="Times New Roman"/>
          <w:sz w:val="24"/>
          <w:szCs w:val="24"/>
        </w:rPr>
        <w:t>a baza de calcul al indemnizat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iei de</w:t>
      </w:r>
      <w:r w:rsidR="00432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6483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omaj. Pentru perioadele anterioare datei de 1.01.2018 se completeaz</w:t>
      </w:r>
      <w:r w:rsidR="00F648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cu natura veniturilor din care este constituit</w:t>
      </w:r>
      <w:r w:rsidR="00F6483B">
        <w:rPr>
          <w:rFonts w:ascii="Times New Roman" w:eastAsia="Times New Roman" w:hAnsi="Times New Roman" w:cs="Times New Roman"/>
          <w:sz w:val="24"/>
          <w:szCs w:val="24"/>
        </w:rPr>
        <w:t>a baza lunara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de calcul asupra c</w:t>
      </w:r>
      <w:r w:rsidR="00F648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reia se aplic</w:t>
      </w:r>
      <w:r w:rsidR="00F6483B">
        <w:rPr>
          <w:rFonts w:ascii="Times New Roman" w:eastAsia="Times New Roman" w:hAnsi="Times New Roman" w:cs="Times New Roman"/>
          <w:sz w:val="24"/>
          <w:szCs w:val="24"/>
        </w:rPr>
        <w:t>a contributia individuala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la bugetul asigur</w:t>
      </w:r>
      <w:r w:rsidR="00F6483B">
        <w:rPr>
          <w:rFonts w:ascii="Times New Roman" w:eastAsia="Times New Roman" w:hAnsi="Times New Roman" w:cs="Times New Roman"/>
          <w:sz w:val="24"/>
          <w:szCs w:val="24"/>
        </w:rPr>
        <w:t>arilor pentru s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omaj </w:t>
      </w:r>
      <w:r w:rsidR="00F6483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 cota prev</w:t>
      </w:r>
      <w:r w:rsidR="00F648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zut</w:t>
      </w:r>
      <w:r w:rsidR="00F648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de lege, determinat</w:t>
      </w:r>
      <w:r w:rsidR="00F648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83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 conformitate cu dispozi</w:t>
      </w:r>
      <w:r w:rsidR="00F6483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iile </w:t>
      </w:r>
      <w:hyperlink r:id="rId10" w:anchor="p-82435926" w:tgtFrame="_blank" w:history="1">
        <w:r w:rsidRPr="00F73F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titlului V</w:t>
        </w:r>
      </w:hyperlink>
      <w:r w:rsidR="00F6483B">
        <w:rPr>
          <w:rFonts w:ascii="Times New Roman" w:eastAsia="Times New Roman" w:hAnsi="Times New Roman" w:cs="Times New Roman"/>
          <w:sz w:val="24"/>
          <w:szCs w:val="24"/>
        </w:rPr>
        <w:t xml:space="preserve"> "Contributi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i sociale obligatorii" cap. IV din Legea nr. 227/2015 privind Codul fiscal, cu modific</w:t>
      </w:r>
      <w:r w:rsidR="009C66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rile și complet</w:t>
      </w:r>
      <w:r w:rsidR="009C66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rile ulterioare.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77E">
        <w:rPr>
          <w:rFonts w:ascii="Times New Roman" w:eastAsia="Times New Roman" w:hAnsi="Times New Roman" w:cs="Times New Roman"/>
          <w:b/>
          <w:sz w:val="24"/>
          <w:szCs w:val="24"/>
        </w:rPr>
        <w:t>B.2.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 calitatea noastr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de angajator (Se completeaz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pentru perioada anterioar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datei de 1.01.2018, dup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caz.):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>□ ne reg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sim 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 una dintre situa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tiile preva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zute la art. 34 </w:t>
      </w:r>
      <w:hyperlink r:id="rId11" w:anchor="p-48332273" w:tgtFrame="_blank" w:history="1">
        <w:r w:rsidRPr="00F73F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alin. (2)</w:t>
        </w:r>
      </w:hyperlink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din Legea nr. 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76/2002 privind sistemul asigurarilor pentru s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omaj 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i stimularea ocup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rii for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ei de munc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, astfel cum era în vigoare p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273F4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la data de 1.01.2018, respectiv . . . . . . . . . . perioada . . . . . . . . . .</w:t>
      </w:r>
    </w:p>
    <w:p w:rsidR="00F73F11" w:rsidRPr="0034477E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77E">
        <w:rPr>
          <w:rFonts w:ascii="Times New Roman" w:eastAsia="Times New Roman" w:hAnsi="Times New Roman" w:cs="Times New Roman"/>
          <w:b/>
          <w:sz w:val="24"/>
          <w:szCs w:val="24"/>
        </w:rPr>
        <w:t>C. Date privind raporturile de munc</w:t>
      </w:r>
      <w:r w:rsidR="00916AC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4477E">
        <w:rPr>
          <w:rFonts w:ascii="Times New Roman" w:eastAsia="Times New Roman" w:hAnsi="Times New Roman" w:cs="Times New Roman"/>
          <w:b/>
          <w:sz w:val="24"/>
          <w:szCs w:val="24"/>
        </w:rPr>
        <w:t>/de serviciu/alte raporturi ale persoanei: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Actul 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 baza c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ruia a fost 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ncadrat în munc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 sau Actul 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 baza c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ruia s-a stabilit raportul juridic prev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zut la art. 17 </w:t>
      </w:r>
      <w:hyperlink r:id="rId12" w:anchor="p-25000423" w:tgtFrame="_blank" w:history="1">
        <w:r w:rsidRPr="00F73F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alin. (1)</w:t>
        </w:r>
      </w:hyperlink>
      <w:r w:rsidR="00916ACC">
        <w:rPr>
          <w:rFonts w:ascii="Times New Roman" w:eastAsia="Times New Roman" w:hAnsi="Times New Roman" w:cs="Times New Roman"/>
          <w:sz w:val="24"/>
          <w:szCs w:val="24"/>
        </w:rPr>
        <w:t xml:space="preserve"> din lege, numa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 și data . . . . . . . . . .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>Data angaj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rii/stabilirii raportului juridic prev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zut la art. 17 </w:t>
      </w:r>
      <w:hyperlink r:id="rId13" w:anchor="p-25000423" w:tgtFrame="_blank" w:history="1">
        <w:r w:rsidRPr="00F73F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alin. (1)</w:t>
        </w:r>
      </w:hyperlink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din Legea nr. 76/2002, cu modific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le s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i complet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rile ulterioare . . . . . . . . . .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ncet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rii raporturilor de munc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sau de serviciu ori a raportului juridic prev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zut la art. 17 </w:t>
      </w:r>
      <w:hyperlink r:id="rId14" w:anchor="p-25000423" w:tgtFrame="_blank" w:history="1">
        <w:r w:rsidRPr="00F73F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alin. (1)</w:t>
        </w:r>
      </w:hyperlink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din lege . . . . . . . . . .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Temeiul legal al 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ncet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arii raporturilor de munca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sau de serviciu (art. și act normativ) . . . . . . . . . .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>Perioade pentru care raporturile de munc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sau de serviciu, respectiv, dupa caz, raportul juridic preva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zut la art. 17 </w:t>
      </w:r>
      <w:hyperlink r:id="rId15" w:anchor="p-25000423" w:tgtFrame="_blank" w:history="1">
        <w:r w:rsidRPr="00F73F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alin. (1)</w:t>
        </w:r>
      </w:hyperlink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din Legea nr. 76/2002, cu modific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rile și complet</w:t>
      </w:r>
      <w:r w:rsidR="00916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rile ulterioare, au fost suspendate*):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>*) Se completeaz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pentru fiecare perioad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de suspendare.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Data de suspendare . . . . . . . . . ., data de 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ncetare a suspend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rii . . .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 xml:space="preserve"> . . . . . . ., motivul suspenda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rii **) . . . . . . . . . .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**) 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In cazul suspenda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rii pentru incapacitate temporar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de munc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se va specifica num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rul de zile de concediu medical.</w:t>
      </w:r>
    </w:p>
    <w:p w:rsidR="00F73F11" w:rsidRPr="00F73F11" w:rsidRDefault="00F73F11" w:rsidP="0001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11">
        <w:rPr>
          <w:rFonts w:ascii="Times New Roman" w:eastAsia="Times New Roman" w:hAnsi="Times New Roman" w:cs="Times New Roman"/>
          <w:sz w:val="24"/>
          <w:szCs w:val="24"/>
        </w:rPr>
        <w:t>Cunosc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nd sanc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iunile aplicate infrac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iunilor de fals 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nscrisuri, declar c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a am examinat i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ntreg con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tinutul acestei adeverint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si, in conformitate cu informat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iile furnizate, o declar corect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 xml:space="preserve"> și complet</w:t>
      </w:r>
      <w:r w:rsidR="00084F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73F1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20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234"/>
        <w:gridCol w:w="70"/>
        <w:gridCol w:w="7709"/>
      </w:tblGrid>
      <w:tr w:rsidR="00DD0DF7" w:rsidRPr="00F73F11" w:rsidTr="00EA2E8F">
        <w:trPr>
          <w:gridAfter w:val="1"/>
          <w:wAfter w:w="6074" w:type="dxa"/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73F11" w:rsidRPr="00F73F11" w:rsidRDefault="00F73F11" w:rsidP="00EA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3F11" w:rsidRPr="00F73F11" w:rsidRDefault="00F73F11" w:rsidP="00EA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3F11" w:rsidRPr="00F73F11" w:rsidRDefault="00F73F11" w:rsidP="00EA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D0DF7" w:rsidRPr="0034477E" w:rsidTr="00EA2E8F">
        <w:trPr>
          <w:trHeight w:val="990"/>
          <w:tblCellSpacing w:w="15" w:type="dxa"/>
        </w:trPr>
        <w:tc>
          <w:tcPr>
            <w:tcW w:w="0" w:type="auto"/>
            <w:vAlign w:val="center"/>
            <w:hideMark/>
          </w:tcPr>
          <w:p w:rsidR="00F73F11" w:rsidRPr="00F73F11" w:rsidRDefault="00F73F11" w:rsidP="00EA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93B48" w:rsidRPr="0034477E" w:rsidRDefault="00F73F11" w:rsidP="00E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Administrator/Director/Reprezentant legal,</w:t>
            </w:r>
            <w:r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084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clar)</w:t>
            </w:r>
            <w:r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393B48"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</w:t>
            </w:r>
          </w:p>
          <w:p w:rsidR="00F73F11" w:rsidRPr="0034477E" w:rsidRDefault="00084F23" w:rsidP="00E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(Numele și prenumele, funct</w:t>
            </w:r>
            <w:r w:rsidR="00F73F11"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ia)</w:t>
            </w:r>
          </w:p>
        </w:tc>
        <w:tc>
          <w:tcPr>
            <w:tcW w:w="7739" w:type="dxa"/>
            <w:gridSpan w:val="2"/>
            <w:shd w:val="clear" w:color="auto" w:fill="auto"/>
            <w:vAlign w:val="center"/>
            <w:hideMark/>
          </w:tcPr>
          <w:p w:rsidR="00393B48" w:rsidRPr="0034477E" w:rsidRDefault="00F73F11" w:rsidP="00EA2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Compartimentul . . . . . . . . . .</w:t>
            </w:r>
            <w:r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DD0DF7"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084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clar)</w:t>
            </w:r>
            <w:r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DD0DF7"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F73F11" w:rsidRPr="0034477E" w:rsidRDefault="0034477E" w:rsidP="0008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</w:t>
            </w:r>
            <w:r w:rsidR="00393B48"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</w:t>
            </w:r>
            <w:r w:rsidR="00F73F11"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DD0DF7"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F73F11"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(Numele și prenumele, func</w:t>
            </w:r>
            <w:r w:rsidR="00084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="00F73F11" w:rsidRPr="003447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ia)</w:t>
            </w:r>
          </w:p>
        </w:tc>
      </w:tr>
    </w:tbl>
    <w:p w:rsidR="00EA72C9" w:rsidRPr="00186DC2" w:rsidRDefault="00EA72C9"/>
    <w:sectPr w:rsidR="00EA72C9" w:rsidRPr="00186DC2" w:rsidSect="00015B64">
      <w:pgSz w:w="15840" w:h="12240" w:orient="landscape"/>
      <w:pgMar w:top="45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11"/>
    <w:rsid w:val="00015B64"/>
    <w:rsid w:val="00084F23"/>
    <w:rsid w:val="000F3FA9"/>
    <w:rsid w:val="001858DE"/>
    <w:rsid w:val="00186DC2"/>
    <w:rsid w:val="00273F41"/>
    <w:rsid w:val="00297146"/>
    <w:rsid w:val="0034477E"/>
    <w:rsid w:val="00393B48"/>
    <w:rsid w:val="003B57EB"/>
    <w:rsid w:val="004324FD"/>
    <w:rsid w:val="004447FC"/>
    <w:rsid w:val="00591A8C"/>
    <w:rsid w:val="0060551B"/>
    <w:rsid w:val="00683342"/>
    <w:rsid w:val="00690FEE"/>
    <w:rsid w:val="00916ACC"/>
    <w:rsid w:val="0098003B"/>
    <w:rsid w:val="009C6675"/>
    <w:rsid w:val="00BD6CE2"/>
    <w:rsid w:val="00C36652"/>
    <w:rsid w:val="00C51AFD"/>
    <w:rsid w:val="00DD0DF7"/>
    <w:rsid w:val="00DF1D0B"/>
    <w:rsid w:val="00EA2E8F"/>
    <w:rsid w:val="00EA72C9"/>
    <w:rsid w:val="00F6483B"/>
    <w:rsid w:val="00F7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4tcmzr/legea-nr-76-2002-privind-sistemul-asigurarilor-pentru-somaj-si-stimularea-ocuparii-fortei-de-munca?d=2018-03-15" TargetMode="External"/><Relationship Id="rId13" Type="http://schemas.openxmlformats.org/officeDocument/2006/relationships/hyperlink" Target="https://lege5.ro/Gratuit/gm4tcmzr/legea-nr-76-2002-privind-sistemul-asigurarilor-pentru-somaj-si-stimularea-ocuparii-fortei-de-munca?pid=25000423&amp;d=2018-03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e5.ro/Gratuit/g43donzugq/legea-nr-227-2015-privind-codul-fiscal?d=2018-03-15" TargetMode="External"/><Relationship Id="rId12" Type="http://schemas.openxmlformats.org/officeDocument/2006/relationships/hyperlink" Target="https://lege5.ro/Gratuit/gm4tcmzr/legea-nr-76-2002-privind-sistemul-asigurarilor-pentru-somaj-si-stimularea-ocuparii-fortei-de-munca?pid=25000423&amp;d=2018-03-1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e5.ro/Gratuit/gm4tcmzr/legea-nr-76-2002-privind-sistemul-asigurarilor-pentru-somaj-si-stimularea-ocuparii-fortei-de-munca?pid=249543226&amp;d=2018-03-15" TargetMode="External"/><Relationship Id="rId11" Type="http://schemas.openxmlformats.org/officeDocument/2006/relationships/hyperlink" Target="https://lege5.ro/Gratuit/gm4tcmzr/legea-nr-76-2002-privind-sistemul-asigurarilor-pentru-somaj-si-stimularea-ocuparii-fortei-de-munca?pid=48332273&amp;d=2018-03-15" TargetMode="External"/><Relationship Id="rId5" Type="http://schemas.openxmlformats.org/officeDocument/2006/relationships/hyperlink" Target="https://legestart.ro/declaratia-unica-privind-impozitul-pe-venit-cas-si-cass-aplicabila-din-2018-formularul-600-inclus/" TargetMode="External"/><Relationship Id="rId15" Type="http://schemas.openxmlformats.org/officeDocument/2006/relationships/hyperlink" Target="https://lege5.ro/Gratuit/gm4tcmzr/legea-nr-76-2002-privind-sistemul-asigurarilor-pentru-somaj-si-stimularea-ocuparii-fortei-de-munca?pid=25000423&amp;d=2018-03-15" TargetMode="External"/><Relationship Id="rId10" Type="http://schemas.openxmlformats.org/officeDocument/2006/relationships/hyperlink" Target="https://lege5.ro/Gratuit/g43donzvgi/codul-fiscal-din-2015?pid=82435926&amp;d=2018-03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Gratuit/g43donzvgi/codul-fiscal-din-2015?pid=82435926&amp;d=2018-03-15" TargetMode="External"/><Relationship Id="rId14" Type="http://schemas.openxmlformats.org/officeDocument/2006/relationships/hyperlink" Target="https://lege5.ro/Gratuit/gm4tcmzr/legea-nr-76-2002-privind-sistemul-asigurarilor-pentru-somaj-si-stimularea-ocuparii-fortei-de-munca?pid=25000423&amp;d=2018-03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CATALINA.BALHACEANU</dc:creator>
  <cp:lastModifiedBy>CATALINA.BALHACEANU</cp:lastModifiedBy>
  <cp:revision>25</cp:revision>
  <cp:lastPrinted>2018-03-15T07:15:00Z</cp:lastPrinted>
  <dcterms:created xsi:type="dcterms:W3CDTF">2018-03-15T06:42:00Z</dcterms:created>
  <dcterms:modified xsi:type="dcterms:W3CDTF">2018-03-15T09:53:00Z</dcterms:modified>
</cp:coreProperties>
</file>