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431F52" w:rsidP="00381CB6">
      <w:pPr>
        <w:ind w:left="0"/>
        <w:jc w:val="right"/>
        <w:rPr>
          <w:lang w:val="ro-RO"/>
        </w:rPr>
      </w:pPr>
      <w:r>
        <w:rPr>
          <w:lang w:val="ro-RO"/>
        </w:rPr>
        <w:t xml:space="preserve">30 </w:t>
      </w:r>
      <w:r w:rsidR="00AC4F48">
        <w:rPr>
          <w:lang w:val="ro-RO"/>
        </w:rPr>
        <w:t>Decembrie</w:t>
      </w:r>
      <w:r w:rsidR="00FF4735">
        <w:rPr>
          <w:lang w:val="ro-RO"/>
        </w:rPr>
        <w:t xml:space="preserve"> 2019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B26B26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r w:rsidR="00A31D8D" w:rsidRPr="00570BB9">
        <w:rPr>
          <w:rFonts w:cs="Trebuchet MS"/>
          <w:b/>
          <w:bCs/>
        </w:rPr>
        <w:t>,</w:t>
      </w:r>
      <w:r w:rsidR="00225A38">
        <w:rPr>
          <w:rFonts w:cs="Trebuchet MS"/>
          <w:b/>
          <w:bCs/>
        </w:rPr>
        <w:t>1</w:t>
      </w:r>
      <w:r w:rsidR="0035084F">
        <w:rPr>
          <w:rFonts w:cs="Trebuchet MS"/>
          <w:b/>
          <w:bCs/>
        </w:rPr>
        <w:t>5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35084F">
        <w:rPr>
          <w:rFonts w:cs="Trebuchet MS"/>
          <w:b/>
          <w:bCs/>
          <w:lang w:val="ro-RO"/>
        </w:rPr>
        <w:t>noie</w:t>
      </w:r>
      <w:r w:rsidR="0037389A">
        <w:rPr>
          <w:rFonts w:cs="Trebuchet MS"/>
          <w:b/>
          <w:bCs/>
          <w:lang w:val="ro-RO"/>
        </w:rPr>
        <w:t>mbrie</w:t>
      </w:r>
      <w:r w:rsidR="00476018" w:rsidRPr="00570BB9">
        <w:rPr>
          <w:rFonts w:cs="Trebuchet MS"/>
          <w:b/>
          <w:bCs/>
          <w:lang w:val="ro-RO"/>
        </w:rPr>
        <w:t xml:space="preserve"> </w:t>
      </w:r>
      <w:r w:rsidR="00A31D8D" w:rsidRPr="00570BB9">
        <w:rPr>
          <w:rFonts w:cs="Trebuchet MS"/>
          <w:b/>
          <w:bCs/>
          <w:lang w:val="ro-RO"/>
        </w:rPr>
        <w:t>201</w:t>
      </w:r>
      <w:r w:rsidR="002055CC" w:rsidRPr="00570BB9">
        <w:rPr>
          <w:rFonts w:cs="Trebuchet MS"/>
          <w:b/>
          <w:bCs/>
          <w:lang w:val="ro-RO"/>
        </w:rPr>
        <w:t>9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35084F">
        <w:rPr>
          <w:rFonts w:cs="Arial"/>
        </w:rPr>
        <w:t>noie</w:t>
      </w:r>
      <w:r w:rsidR="0037389A">
        <w:rPr>
          <w:rFonts w:cs="Arial"/>
        </w:rPr>
        <w:t>mbrie</w:t>
      </w:r>
      <w:r w:rsidR="00476018" w:rsidRPr="00570BB9">
        <w:rPr>
          <w:rFonts w:cs="Arial"/>
        </w:rPr>
        <w:t xml:space="preserve"> </w:t>
      </w:r>
      <w:r w:rsidRPr="00570BB9">
        <w:rPr>
          <w:rFonts w:cs="Arial"/>
        </w:rPr>
        <w:t>2019,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B26B26">
        <w:rPr>
          <w:rFonts w:cs="Arial"/>
        </w:rPr>
        <w:t>3</w:t>
      </w:r>
      <w:r w:rsidRPr="00570BB9">
        <w:rPr>
          <w:rFonts w:cs="Arial"/>
        </w:rPr>
        <w:t>,</w:t>
      </w:r>
      <w:r w:rsidR="00225A38">
        <w:rPr>
          <w:rFonts w:cs="Arial"/>
        </w:rPr>
        <w:t>1</w:t>
      </w:r>
      <w:r w:rsidR="0035084F">
        <w:rPr>
          <w:rFonts w:cs="Arial"/>
        </w:rPr>
        <w:t>5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mai m</w:t>
      </w:r>
      <w:r w:rsidR="0037389A">
        <w:rPr>
          <w:rFonts w:cs="Arial"/>
        </w:rPr>
        <w:t>ică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225A38">
        <w:rPr>
          <w:rFonts w:cs="Arial"/>
        </w:rPr>
        <w:t>0</w:t>
      </w:r>
      <w:r w:rsidR="0035084F">
        <w:rPr>
          <w:rFonts w:cs="Arial"/>
        </w:rPr>
        <w:t>2</w:t>
      </w:r>
      <w:r w:rsidRPr="00570BB9">
        <w:rPr>
          <w:rFonts w:cs="Arial"/>
        </w:rPr>
        <w:t xml:space="preserve"> pp </w:t>
      </w:r>
      <w:r w:rsidR="00B26B26">
        <w:rPr>
          <w:rFonts w:cs="Arial"/>
        </w:rPr>
        <w:t>decât cea din luna anterioară şi cu 0,</w:t>
      </w:r>
      <w:r w:rsidR="0035084F">
        <w:rPr>
          <w:rFonts w:cs="Arial"/>
        </w:rPr>
        <w:t>07</w:t>
      </w:r>
      <w:r w:rsidR="00B26B26">
        <w:rPr>
          <w:rFonts w:cs="Arial"/>
        </w:rPr>
        <w:t xml:space="preserve"> pp mai mică decât cea din luna </w:t>
      </w:r>
      <w:r w:rsidR="0035084F">
        <w:rPr>
          <w:rFonts w:cs="Arial"/>
        </w:rPr>
        <w:t>noiembrie</w:t>
      </w:r>
      <w:r w:rsidR="00B26B26">
        <w:rPr>
          <w:rFonts w:cs="Arial"/>
        </w:rPr>
        <w:t xml:space="preserve"> 2018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35084F">
        <w:rPr>
          <w:rFonts w:cs="Arial"/>
        </w:rPr>
        <w:t>noiembrie</w:t>
      </w:r>
      <w:r w:rsidR="000B6907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B26B26">
        <w:rPr>
          <w:rFonts w:cs="Arial"/>
        </w:rPr>
        <w:t>3</w:t>
      </w:r>
      <w:r w:rsidR="0035084F">
        <w:rPr>
          <w:rFonts w:cs="Arial"/>
        </w:rPr>
        <w:t>6</w:t>
      </w:r>
      <w:r w:rsidR="0037389A">
        <w:rPr>
          <w:rFonts w:cs="Arial"/>
        </w:rPr>
        <w:t>9</w:t>
      </w:r>
      <w:r w:rsidRPr="00570BB9">
        <w:rPr>
          <w:rFonts w:cs="Arial"/>
        </w:rPr>
        <w:t xml:space="preserve"> persoane</w:t>
      </w:r>
      <w:r w:rsidR="000B6907">
        <w:rPr>
          <w:rFonts w:cs="Arial"/>
        </w:rPr>
        <w:t xml:space="preserve">, a </w:t>
      </w:r>
      <w:r w:rsidR="0037389A">
        <w:rPr>
          <w:rFonts w:cs="Arial"/>
        </w:rPr>
        <w:t>scăzut</w:t>
      </w:r>
      <w:r w:rsidR="000B6907">
        <w:rPr>
          <w:rFonts w:cs="Arial"/>
        </w:rPr>
        <w:t xml:space="preserve"> cu </w:t>
      </w:r>
      <w:r w:rsidR="0035084F">
        <w:rPr>
          <w:rFonts w:cs="Arial"/>
        </w:rPr>
        <w:t xml:space="preserve">20 </w:t>
      </w:r>
      <w:r w:rsidR="000B6907">
        <w:rPr>
          <w:rFonts w:cs="Arial"/>
        </w:rPr>
        <w:t>persoane faţă de cel de la finele lunii anterioare</w:t>
      </w:r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totalul şomerilor înregistraţi, </w:t>
      </w:r>
      <w:r w:rsidR="0037389A">
        <w:rPr>
          <w:rFonts w:cs="Arial"/>
        </w:rPr>
        <w:t>1.0</w:t>
      </w:r>
      <w:r w:rsidR="0035084F">
        <w:rPr>
          <w:rFonts w:cs="Arial"/>
        </w:rPr>
        <w:t>33</w:t>
      </w:r>
      <w:r w:rsidRPr="00570BB9">
        <w:rPr>
          <w:rFonts w:cs="Arial"/>
        </w:rPr>
        <w:t xml:space="preserve"> au fost şomeri indemnizaţi şi 2</w:t>
      </w:r>
      <w:r w:rsidR="0037389A">
        <w:rPr>
          <w:rFonts w:cs="Arial"/>
        </w:rPr>
        <w:t>3</w:t>
      </w:r>
      <w:r w:rsidR="0035084F">
        <w:rPr>
          <w:rFonts w:cs="Arial"/>
        </w:rPr>
        <w:t>36</w:t>
      </w:r>
      <w:r w:rsidRPr="00570BB9">
        <w:rPr>
          <w:rFonts w:cs="Arial"/>
        </w:rPr>
        <w:t xml:space="preserve"> şomeri neindemnizaţi. </w:t>
      </w:r>
      <w:r w:rsidR="00A61E97">
        <w:rPr>
          <w:rFonts w:cs="Arial"/>
        </w:rPr>
        <w:t xml:space="preserve">Numărul şomerilor indemnizaţi a </w:t>
      </w:r>
      <w:r w:rsidR="0037389A">
        <w:rPr>
          <w:rFonts w:cs="Arial"/>
        </w:rPr>
        <w:t>crescut</w:t>
      </w:r>
      <w:r w:rsidR="00A61E97">
        <w:rPr>
          <w:rFonts w:cs="Arial"/>
        </w:rPr>
        <w:t xml:space="preserve"> cu 6 persoane, iar numărul şomerilor neindemnizaţi a </w:t>
      </w:r>
      <w:r w:rsidR="0037389A">
        <w:rPr>
          <w:rFonts w:cs="Arial"/>
        </w:rPr>
        <w:t>scăzut</w:t>
      </w:r>
      <w:r w:rsidR="00A61E97">
        <w:rPr>
          <w:rFonts w:cs="Arial"/>
        </w:rPr>
        <w:t xml:space="preserve"> cu </w:t>
      </w:r>
      <w:r w:rsidR="0035084F">
        <w:rPr>
          <w:rFonts w:cs="Arial"/>
        </w:rPr>
        <w:t>2</w:t>
      </w:r>
      <w:r w:rsidR="0037389A">
        <w:rPr>
          <w:rFonts w:cs="Arial"/>
        </w:rPr>
        <w:t>6</w:t>
      </w:r>
      <w:r w:rsidR="00A61E97">
        <w:rPr>
          <w:rFonts w:cs="Arial"/>
        </w:rPr>
        <w:t xml:space="preserve"> persoane faţă de luna precedentă</w:t>
      </w:r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35084F">
        <w:rPr>
          <w:rFonts w:cs="Arial"/>
        </w:rPr>
        <w:t>noiembrie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B26B26">
        <w:rPr>
          <w:rFonts w:cs="Arial"/>
        </w:rPr>
        <w:t>4</w:t>
      </w:r>
      <w:r w:rsidR="0035084F">
        <w:rPr>
          <w:rFonts w:cs="Arial"/>
        </w:rPr>
        <w:t>31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0B6907">
        <w:rPr>
          <w:rFonts w:cs="Arial"/>
        </w:rPr>
        <w:t>9</w:t>
      </w:r>
      <w:r w:rsidR="0035084F">
        <w:rPr>
          <w:rFonts w:cs="Arial"/>
        </w:rPr>
        <w:t>38</w:t>
      </w:r>
      <w:r w:rsidRPr="00570BB9">
        <w:rPr>
          <w:rFonts w:cs="Arial"/>
        </w:rPr>
        <w:t xml:space="preserve"> 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35084F">
        <w:rPr>
          <w:rFonts w:cs="Arial"/>
        </w:rPr>
        <w:t>881</w:t>
      </w:r>
      <w:r w:rsidRPr="00570BB9">
        <w:rPr>
          <w:rFonts w:cs="Arial"/>
        </w:rPr>
        <w:t>), urmaţi de cei din grupa de vârstă peste 55 de ani (</w:t>
      </w:r>
      <w:r w:rsidR="0037389A">
        <w:rPr>
          <w:rFonts w:cs="Arial"/>
        </w:rPr>
        <w:t>6</w:t>
      </w:r>
      <w:r w:rsidR="0035084F">
        <w:rPr>
          <w:rFonts w:cs="Arial"/>
        </w:rPr>
        <w:t>69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 –29 de ani (1</w:t>
      </w:r>
      <w:r w:rsidR="0035084F">
        <w:rPr>
          <w:rFonts w:cs="Arial"/>
        </w:rPr>
        <w:t>64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35084F">
        <w:rPr>
          <w:rFonts w:cs="Arial"/>
        </w:rPr>
        <w:t>noiembrie</w:t>
      </w:r>
      <w:r w:rsidR="0035084F" w:rsidRPr="00570BB9">
        <w:rPr>
          <w:rFonts w:cs="Trebuchet MS"/>
        </w:rPr>
        <w:t xml:space="preserve"> </w:t>
      </w:r>
      <w:r w:rsidR="00E146D5" w:rsidRPr="00570BB9">
        <w:rPr>
          <w:rFonts w:cs="Trebuchet MS"/>
        </w:rPr>
        <w:t>2019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35084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B26B26">
              <w:rPr>
                <w:rFonts w:cs="Calibri"/>
              </w:rPr>
              <w:t>3</w:t>
            </w:r>
            <w:r w:rsidR="0035084F">
              <w:rPr>
                <w:rFonts w:cs="Calibri"/>
              </w:rPr>
              <w:t>6</w:t>
            </w:r>
            <w:r w:rsidR="0037389A">
              <w:rPr>
                <w:rFonts w:cs="Calibri"/>
              </w:rPr>
              <w:t>9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084F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497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35084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5084F">
              <w:rPr>
                <w:rFonts w:cs="Calibri"/>
              </w:rPr>
              <w:t>64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7389A" w:rsidP="0035084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35084F">
              <w:rPr>
                <w:rFonts w:cs="Calibri"/>
              </w:rPr>
              <w:t>20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35084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35084F">
              <w:rPr>
                <w:rFonts w:cs="Calibri"/>
              </w:rPr>
              <w:t>81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35084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35084F">
              <w:rPr>
                <w:rFonts w:cs="Calibri"/>
              </w:rPr>
              <w:t>38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7389A" w:rsidP="0035084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35084F">
              <w:rPr>
                <w:rFonts w:cs="Calibri"/>
              </w:rPr>
              <w:t>69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020891">
        <w:rPr>
          <w:rFonts w:cs="Arial"/>
        </w:rPr>
        <w:t>2</w:t>
      </w:r>
      <w:r w:rsidR="0035084F">
        <w:rPr>
          <w:rFonts w:cs="Arial"/>
        </w:rPr>
        <w:t>8</w:t>
      </w:r>
      <w:r w:rsidR="00020891">
        <w:rPr>
          <w:rFonts w:cs="Arial"/>
        </w:rPr>
        <w:t>,</w:t>
      </w:r>
      <w:r w:rsidR="0035084F">
        <w:rPr>
          <w:rFonts w:cs="Arial"/>
        </w:rPr>
        <w:t>19</w:t>
      </w:r>
      <w:r w:rsidRPr="00E146D5">
        <w:rPr>
          <w:rFonts w:cs="Arial"/>
        </w:rPr>
        <w:t xml:space="preserve">%). Şomerii cu nivel de instruire </w:t>
      </w:r>
      <w:r w:rsidR="00F911A0">
        <w:rPr>
          <w:rFonts w:cs="Arial"/>
        </w:rPr>
        <w:t>gimnazial</w:t>
      </w:r>
      <w:r w:rsidRPr="00E146D5">
        <w:rPr>
          <w:rFonts w:cs="Arial"/>
        </w:rPr>
        <w:t xml:space="preserve"> reprezintă </w:t>
      </w:r>
      <w:r w:rsidR="0035084F">
        <w:rPr>
          <w:rFonts w:cs="Arial"/>
        </w:rPr>
        <w:t>10</w:t>
      </w:r>
      <w:r w:rsidR="00F911A0">
        <w:rPr>
          <w:rFonts w:cs="Arial"/>
        </w:rPr>
        <w:t>,</w:t>
      </w:r>
      <w:r w:rsidR="0035084F">
        <w:rPr>
          <w:rFonts w:cs="Arial"/>
        </w:rPr>
        <w:t>98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 xml:space="preserve">cei cu studii universitare </w:t>
      </w:r>
      <w:r w:rsidR="00F911A0">
        <w:rPr>
          <w:rFonts w:cs="Arial"/>
        </w:rPr>
        <w:t>6</w:t>
      </w:r>
      <w:r w:rsidRPr="00E146D5">
        <w:rPr>
          <w:rFonts w:cs="Arial"/>
        </w:rPr>
        <w:t>,</w:t>
      </w:r>
      <w:r w:rsidR="0035084F">
        <w:rPr>
          <w:rFonts w:cs="Arial"/>
        </w:rPr>
        <w:t>35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35084F">
        <w:rPr>
          <w:rFonts w:cs="Arial"/>
        </w:rPr>
        <w:t>noiembrie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EC" w:rsidRDefault="00551EEC" w:rsidP="00CD5B3B">
      <w:r>
        <w:separator/>
      </w:r>
    </w:p>
  </w:endnote>
  <w:endnote w:type="continuationSeparator" w:id="1">
    <w:p w:rsidR="00551EEC" w:rsidRDefault="00551EEC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E078D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E078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078D5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078D5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E078D5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FC1BC4" w:rsidRPr="00FC1BC4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E078D5" w:rsidP="00702E2A">
    <w:pPr>
      <w:pStyle w:val="Footer"/>
      <w:spacing w:after="0" w:line="240" w:lineRule="auto"/>
      <w:ind w:left="1699"/>
      <w:rPr>
        <w:sz w:val="14"/>
        <w:szCs w:val="14"/>
      </w:rPr>
    </w:pPr>
    <w:r w:rsidRPr="00E078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078D5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078D5" w:rsidRPr="002A367B">
      <w:rPr>
        <w:sz w:val="14"/>
        <w:szCs w:val="14"/>
        <w:lang w:val="ro-RO"/>
      </w:rPr>
      <w:fldChar w:fldCharType="separate"/>
    </w:r>
    <w:r w:rsidR="00681852">
      <w:rPr>
        <w:noProof/>
        <w:sz w:val="14"/>
        <w:szCs w:val="14"/>
        <w:lang w:val="ro-RO"/>
      </w:rPr>
      <w:t>1</w:t>
    </w:r>
    <w:r w:rsidR="00E078D5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81852" w:rsidRPr="00681852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EC" w:rsidRDefault="00551EEC" w:rsidP="00CD5B3B">
      <w:r>
        <w:separator/>
      </w:r>
    </w:p>
  </w:footnote>
  <w:footnote w:type="continuationSeparator" w:id="1">
    <w:p w:rsidR="00551EEC" w:rsidRDefault="00551EEC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6AC3"/>
    <w:rsid w:val="007C72C4"/>
    <w:rsid w:val="007D7ABE"/>
    <w:rsid w:val="007E313D"/>
    <w:rsid w:val="007E4E59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55FF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11A0"/>
    <w:rsid w:val="00F92DC9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</a:t>
            </a:r>
            <a:r>
              <a:rPr lang="en-US" sz="800"/>
              <a:t>0</a:t>
            </a:r>
            <a:r>
              <a:rPr lang="ro-RO" sz="800"/>
              <a:t>.1</a:t>
            </a:r>
            <a:r>
              <a:rPr lang="en-US" sz="800"/>
              <a:t>1</a:t>
            </a:r>
            <a:r>
              <a:rPr lang="ro-RO" sz="800"/>
              <a:t>.2019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t>&lt;25 ani
1</a:t>
                    </a:r>
                    <a:r>
                      <a:rPr lang="en-US"/>
                      <a:t>4</a:t>
                    </a:r>
                    <a:r>
                      <a:t>,</a:t>
                    </a:r>
                    <a:r>
                      <a:rPr lang="en-US"/>
                      <a:t>75</a:t>
                    </a:r>
                    <a: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t>25-29 ani
</a:t>
                    </a:r>
                    <a:r>
                      <a:rPr lang="en-US"/>
                      <a:t>4</a:t>
                    </a:r>
                    <a:r>
                      <a:t>,</a:t>
                    </a:r>
                    <a:r>
                      <a:rPr lang="en-US"/>
                      <a:t>87</a:t>
                    </a:r>
                    <a: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t>30-39 ani
1</a:t>
                    </a:r>
                    <a:r>
                      <a:rPr lang="en-US"/>
                      <a:t>5</a:t>
                    </a:r>
                    <a:r>
                      <a:t>,</a:t>
                    </a:r>
                    <a:r>
                      <a:rPr lang="en-US"/>
                      <a:t>4</a:t>
                    </a:r>
                    <a:r>
                      <a:t>3%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t>40-49 ani
2</a:t>
                    </a:r>
                    <a:r>
                      <a:rPr lang="en-US"/>
                      <a:t>6</a:t>
                    </a:r>
                    <a:r>
                      <a:t>,</a:t>
                    </a:r>
                    <a:r>
                      <a:rPr lang="en-US"/>
                      <a:t>15</a:t>
                    </a:r>
                    <a: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t>50-55 ani
18,9</a:t>
                    </a:r>
                    <a:r>
                      <a:rPr lang="en-US"/>
                      <a:t>4</a:t>
                    </a:r>
                    <a: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t>peste 55 ani
</a:t>
                    </a:r>
                    <a:r>
                      <a:rPr lang="en-US"/>
                      <a:t>19</a:t>
                    </a:r>
                    <a:r>
                      <a:t>,</a:t>
                    </a:r>
                    <a:r>
                      <a:rPr lang="en-US"/>
                      <a:t>86</a:t>
                    </a:r>
                    <a:r>
                      <a:t>%</a:t>
                    </a:r>
                  </a:p>
                </c:rich>
              </c:tx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0.14750000000000008</c:v>
                </c:pt>
                <c:pt idx="1">
                  <c:v>4.8700000000000021E-2</c:v>
                </c:pt>
                <c:pt idx="2">
                  <c:v>0.15430000000000008</c:v>
                </c:pt>
                <c:pt idx="3">
                  <c:v>0.26150000000000001</c:v>
                </c:pt>
                <c:pt idx="4">
                  <c:v>0.18940000000000012</c:v>
                </c:pt>
                <c:pt idx="5">
                  <c:v>0.19860000000000003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681E-2938-4CF3-A9AE-946925D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62</cp:revision>
  <cp:lastPrinted>2019-12-30T11:30:00Z</cp:lastPrinted>
  <dcterms:created xsi:type="dcterms:W3CDTF">2019-01-03T12:47:00Z</dcterms:created>
  <dcterms:modified xsi:type="dcterms:W3CDTF">2019-12-30T12:17:00Z</dcterms:modified>
</cp:coreProperties>
</file>