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A1" w:rsidRPr="0051331C" w:rsidRDefault="00B221F5" w:rsidP="009608A1">
      <w:pPr>
        <w:ind w:left="0"/>
        <w:jc w:val="right"/>
        <w:rPr>
          <w:b/>
          <w:bCs/>
          <w:sz w:val="24"/>
          <w:szCs w:val="24"/>
          <w:lang w:val="ro-RO"/>
        </w:rPr>
      </w:pPr>
      <w:r>
        <w:rPr>
          <w:b/>
          <w:bCs/>
          <w:sz w:val="24"/>
          <w:szCs w:val="24"/>
          <w:lang w:val="ro-RO"/>
        </w:rPr>
        <w:t>30</w:t>
      </w:r>
      <w:r w:rsidR="009608A1" w:rsidRPr="0051331C">
        <w:rPr>
          <w:b/>
          <w:bCs/>
          <w:sz w:val="24"/>
          <w:szCs w:val="24"/>
          <w:lang w:val="ro-RO"/>
        </w:rPr>
        <w:t xml:space="preserve"> Ianuarie 2025</w:t>
      </w:r>
    </w:p>
    <w:p w:rsidR="009608A1" w:rsidRPr="0051331C" w:rsidRDefault="009608A1" w:rsidP="009608A1">
      <w:pPr>
        <w:ind w:left="0"/>
        <w:rPr>
          <w:b/>
          <w:bCs/>
          <w:sz w:val="24"/>
          <w:szCs w:val="24"/>
          <w:lang w:val="ro-RO"/>
        </w:rPr>
      </w:pPr>
    </w:p>
    <w:p w:rsidR="009608A1" w:rsidRPr="0051331C" w:rsidRDefault="009608A1" w:rsidP="009608A1">
      <w:pPr>
        <w:ind w:left="0"/>
        <w:rPr>
          <w:b/>
          <w:bCs/>
          <w:sz w:val="24"/>
          <w:szCs w:val="24"/>
          <w:lang w:val="ro-RO"/>
        </w:rPr>
      </w:pPr>
      <w:r w:rsidRPr="0051331C">
        <w:rPr>
          <w:b/>
          <w:bCs/>
          <w:sz w:val="24"/>
          <w:szCs w:val="24"/>
          <w:lang w:val="ro-RO"/>
        </w:rPr>
        <w:t>Comunicat de presă</w:t>
      </w:r>
    </w:p>
    <w:p w:rsidR="009608A1" w:rsidRPr="0051331C" w:rsidRDefault="009608A1" w:rsidP="009608A1">
      <w:pPr>
        <w:ind w:left="0"/>
        <w:rPr>
          <w:b/>
          <w:bCs/>
          <w:sz w:val="24"/>
          <w:szCs w:val="24"/>
          <w:lang w:val="ro-RO"/>
        </w:rPr>
      </w:pPr>
      <w:r w:rsidRPr="0051331C">
        <w:rPr>
          <w:b/>
          <w:bCs/>
          <w:sz w:val="24"/>
          <w:szCs w:val="24"/>
          <w:lang w:val="ro-RO"/>
        </w:rPr>
        <w:t>Documentele și procedurile pentru facilitarea integrării persoanelor cu dizabilități</w:t>
      </w:r>
      <w:r w:rsidR="00282029">
        <w:rPr>
          <w:b/>
          <w:bCs/>
          <w:sz w:val="24"/>
          <w:szCs w:val="24"/>
          <w:lang w:val="ro-RO"/>
        </w:rPr>
        <w:t xml:space="preserve">,prevăzute prin OUG nr.127/2024 privind unele măsuri în domeniul social, </w:t>
      </w:r>
      <w:r w:rsidRPr="0051331C">
        <w:rPr>
          <w:b/>
          <w:bCs/>
          <w:sz w:val="24"/>
          <w:szCs w:val="24"/>
          <w:lang w:val="ro-RO"/>
        </w:rPr>
        <w:t>au fost publicate în Monitorul Oficial</w:t>
      </w:r>
    </w:p>
    <w:p w:rsidR="009608A1" w:rsidRPr="0051331C" w:rsidRDefault="009608A1" w:rsidP="009608A1">
      <w:pPr>
        <w:ind w:left="0"/>
        <w:rPr>
          <w:b/>
          <w:bCs/>
          <w:sz w:val="24"/>
          <w:szCs w:val="24"/>
          <w:lang w:val="ro-RO"/>
        </w:rPr>
      </w:pPr>
    </w:p>
    <w:p w:rsidR="0076375B" w:rsidRPr="0076375B" w:rsidRDefault="0076375B" w:rsidP="0076375B">
      <w:pPr>
        <w:ind w:left="0"/>
        <w:rPr>
          <w:sz w:val="24"/>
          <w:szCs w:val="24"/>
        </w:rPr>
      </w:pPr>
      <w:r w:rsidRPr="0076375B">
        <w:rPr>
          <w:b/>
          <w:bCs/>
          <w:sz w:val="24"/>
          <w:szCs w:val="24"/>
        </w:rPr>
        <w:t xml:space="preserve">Au fost aprobate și publicate </w:t>
      </w:r>
      <w:r>
        <w:rPr>
          <w:b/>
          <w:bCs/>
          <w:sz w:val="24"/>
          <w:szCs w:val="24"/>
        </w:rPr>
        <w:t>procedurile</w:t>
      </w:r>
      <w:r w:rsidRPr="0076375B">
        <w:rPr>
          <w:b/>
          <w:bCs/>
          <w:sz w:val="24"/>
          <w:szCs w:val="24"/>
        </w:rPr>
        <w:t xml:space="preserve">, inclusiv formatul documentelor și obligațiile specifice ale angajatorilor, </w:t>
      </w:r>
      <w:r>
        <w:rPr>
          <w:b/>
          <w:bCs/>
          <w:sz w:val="24"/>
          <w:szCs w:val="24"/>
        </w:rPr>
        <w:t>ONG-urilor</w:t>
      </w:r>
      <w:r w:rsidRPr="0076375B">
        <w:rPr>
          <w:b/>
          <w:bCs/>
          <w:sz w:val="24"/>
          <w:szCs w:val="24"/>
        </w:rPr>
        <w:t xml:space="preserve"> și autorităților</w:t>
      </w:r>
      <w:r>
        <w:rPr>
          <w:b/>
          <w:bCs/>
          <w:sz w:val="24"/>
          <w:szCs w:val="24"/>
        </w:rPr>
        <w:t xml:space="preserve">, </w:t>
      </w:r>
      <w:r w:rsidRPr="0076375B">
        <w:rPr>
          <w:b/>
          <w:bCs/>
          <w:sz w:val="24"/>
          <w:szCs w:val="24"/>
        </w:rPr>
        <w:t xml:space="preserve">pentru </w:t>
      </w:r>
      <w:r>
        <w:rPr>
          <w:b/>
          <w:bCs/>
          <w:sz w:val="24"/>
          <w:szCs w:val="24"/>
        </w:rPr>
        <w:t>facilitarea</w:t>
      </w:r>
      <w:r w:rsidRPr="0076375B">
        <w:rPr>
          <w:b/>
          <w:bCs/>
          <w:sz w:val="24"/>
          <w:szCs w:val="24"/>
        </w:rPr>
        <w:t xml:space="preserve"> integr</w:t>
      </w:r>
      <w:r>
        <w:rPr>
          <w:b/>
          <w:bCs/>
          <w:sz w:val="24"/>
          <w:szCs w:val="24"/>
        </w:rPr>
        <w:t>ării</w:t>
      </w:r>
      <w:r w:rsidRPr="0076375B">
        <w:rPr>
          <w:b/>
          <w:bCs/>
          <w:sz w:val="24"/>
          <w:szCs w:val="24"/>
        </w:rPr>
        <w:t xml:space="preserve"> persoanelor cu dizabilități pe piața muncii</w:t>
      </w:r>
      <w:r>
        <w:rPr>
          <w:b/>
          <w:bCs/>
          <w:sz w:val="24"/>
          <w:szCs w:val="24"/>
        </w:rPr>
        <w:t>.</w:t>
      </w:r>
    </w:p>
    <w:p w:rsidR="0051331C" w:rsidRPr="0051331C" w:rsidRDefault="009608A1" w:rsidP="0076375B">
      <w:pPr>
        <w:spacing w:after="160"/>
        <w:ind w:left="0"/>
        <w:rPr>
          <w:sz w:val="24"/>
          <w:szCs w:val="24"/>
          <w:lang w:val="ro-RO"/>
        </w:rPr>
      </w:pPr>
      <w:r w:rsidRPr="0051331C">
        <w:rPr>
          <w:b/>
          <w:bCs/>
          <w:sz w:val="24"/>
          <w:szCs w:val="24"/>
          <w:lang w:val="ro-RO"/>
        </w:rPr>
        <w:t>Ordinul nr. 28/11</w:t>
      </w:r>
      <w:r w:rsidR="00216274">
        <w:rPr>
          <w:b/>
          <w:bCs/>
          <w:sz w:val="24"/>
          <w:szCs w:val="24"/>
          <w:lang w:val="ro-RO"/>
        </w:rPr>
        <w:t xml:space="preserve"> din </w:t>
      </w:r>
      <w:r w:rsidRPr="0051331C">
        <w:rPr>
          <w:b/>
          <w:bCs/>
          <w:sz w:val="24"/>
          <w:szCs w:val="24"/>
          <w:lang w:val="ro-RO"/>
        </w:rPr>
        <w:t>2025</w:t>
      </w:r>
      <w:r w:rsidRPr="0051331C">
        <w:rPr>
          <w:sz w:val="24"/>
          <w:szCs w:val="24"/>
          <w:lang w:val="ro-RO"/>
        </w:rPr>
        <w:t xml:space="preserve">, emis de președintele Autorității Naționale pentru Protecția Drepturilor Persoanelor cu Dizabilități (ANPDPD) și de președintele Agenției Naționale pentru Ocuparea Forței de Muncă (ANOFM), care reglementează aplicarea prevederilor art. 78 alin. (2²)-(2⁴) din Legea nr. 448/2006 privind protecția și promovarea drepturilor persoanelor cu dizabilități, a fost publicat Monitorul Oficial </w:t>
      </w:r>
      <w:r w:rsidRPr="0051331C">
        <w:rPr>
          <w:lang w:val="ro-RO"/>
        </w:rPr>
        <w:t>nr.68 din 28.01.2025</w:t>
      </w:r>
      <w:r w:rsidRPr="0051331C">
        <w:rPr>
          <w:sz w:val="24"/>
          <w:szCs w:val="24"/>
          <w:lang w:val="ro-RO"/>
        </w:rPr>
        <w:t xml:space="preserve">. </w:t>
      </w:r>
    </w:p>
    <w:p w:rsidR="009608A1" w:rsidRPr="0051331C" w:rsidRDefault="009608A1" w:rsidP="009608A1">
      <w:pPr>
        <w:ind w:left="0"/>
        <w:rPr>
          <w:sz w:val="24"/>
          <w:szCs w:val="24"/>
          <w:lang w:val="ro-RO"/>
        </w:rPr>
      </w:pPr>
      <w:r w:rsidRPr="0051331C">
        <w:rPr>
          <w:sz w:val="24"/>
          <w:szCs w:val="24"/>
          <w:lang w:val="ro-RO"/>
        </w:rPr>
        <w:t xml:space="preserve">Potrivit prevederilor legale, entitățile publice și private care au cel puțin 50 de angajați sunt obligate să angajeze persoane cu dizabilități într-un procent de cel puțin 4% din numărul total de angajați. Pentru respectarea acestei obligații, angajatorii trebuie să transmită, printr-o </w:t>
      </w:r>
      <w:r w:rsidRPr="0051331C">
        <w:rPr>
          <w:b/>
          <w:bCs/>
          <w:sz w:val="24"/>
          <w:szCs w:val="24"/>
          <w:lang w:val="ro-RO"/>
        </w:rPr>
        <w:t>cerere scrisă</w:t>
      </w:r>
      <w:r w:rsidRPr="0051331C">
        <w:rPr>
          <w:sz w:val="24"/>
          <w:szCs w:val="24"/>
          <w:lang w:val="ro-RO"/>
        </w:rPr>
        <w:t>, o solicitare de sprijin către cel puțin trei organizații nonguvernamentale, care potrivit statutului aces</w:t>
      </w:r>
      <w:r w:rsidR="00D64B66">
        <w:rPr>
          <w:sz w:val="24"/>
          <w:szCs w:val="24"/>
          <w:lang w:val="ro-RO"/>
        </w:rPr>
        <w:t>t</w:t>
      </w:r>
      <w:r w:rsidRPr="0051331C">
        <w:rPr>
          <w:sz w:val="24"/>
          <w:szCs w:val="24"/>
          <w:lang w:val="ro-RO"/>
        </w:rPr>
        <w:t xml:space="preserve">ora, prestează servicii în folosul persoanelor cu dizabilități. </w:t>
      </w:r>
    </w:p>
    <w:p w:rsidR="009608A1" w:rsidRPr="00B64A8F" w:rsidRDefault="009608A1" w:rsidP="009608A1">
      <w:pPr>
        <w:ind w:left="0"/>
        <w:rPr>
          <w:b/>
          <w:bCs/>
          <w:sz w:val="24"/>
          <w:szCs w:val="24"/>
          <w:lang w:val="ro-RO"/>
        </w:rPr>
      </w:pPr>
      <w:r w:rsidRPr="0051331C">
        <w:rPr>
          <w:b/>
          <w:bCs/>
          <w:sz w:val="24"/>
          <w:szCs w:val="24"/>
          <w:lang w:val="ro-RO"/>
        </w:rPr>
        <w:t>Cererea</w:t>
      </w:r>
      <w:r w:rsidRPr="0051331C">
        <w:rPr>
          <w:sz w:val="24"/>
          <w:szCs w:val="24"/>
          <w:lang w:val="ro-RO"/>
        </w:rPr>
        <w:t xml:space="preserve"> trebuie transmisă organizațiilor nonguvernamentale în </w:t>
      </w:r>
      <w:r w:rsidRPr="0051331C">
        <w:rPr>
          <w:b/>
          <w:bCs/>
          <w:sz w:val="24"/>
          <w:szCs w:val="24"/>
          <w:lang w:val="ro-RO"/>
        </w:rPr>
        <w:t>termen de 10 zile</w:t>
      </w:r>
      <w:r w:rsidRPr="0051331C">
        <w:rPr>
          <w:sz w:val="24"/>
          <w:szCs w:val="24"/>
          <w:lang w:val="ro-RO"/>
        </w:rPr>
        <w:t xml:space="preserve"> de la data la care angajatorii devin obligați, conform legislației, să angajeze persoane cu dizabilități. </w:t>
      </w:r>
      <w:r w:rsidRPr="00B64A8F">
        <w:rPr>
          <w:b/>
          <w:bCs/>
          <w:sz w:val="24"/>
          <w:szCs w:val="24"/>
          <w:lang w:val="ro-RO"/>
        </w:rPr>
        <w:t>Modelul cererii este prevăzut în Anexa nr. 1 a Ordinului 28/11/2025.</w:t>
      </w:r>
    </w:p>
    <w:p w:rsidR="009608A1" w:rsidRPr="0051331C" w:rsidRDefault="009608A1" w:rsidP="009608A1">
      <w:pPr>
        <w:ind w:left="0"/>
        <w:rPr>
          <w:sz w:val="24"/>
          <w:szCs w:val="24"/>
          <w:lang w:val="ro-RO"/>
        </w:rPr>
      </w:pPr>
      <w:r w:rsidRPr="0051331C">
        <w:rPr>
          <w:sz w:val="24"/>
          <w:szCs w:val="24"/>
          <w:lang w:val="ro-RO"/>
        </w:rPr>
        <w:t>La rândul lor, o</w:t>
      </w:r>
      <w:r w:rsidRPr="0051331C">
        <w:rPr>
          <w:rFonts w:cstheme="minorBidi"/>
          <w:sz w:val="24"/>
          <w:szCs w:val="24"/>
          <w:lang w:val="ro-RO"/>
        </w:rPr>
        <w:t xml:space="preserve">rganizațiile nonguvernamentale </w:t>
      </w:r>
      <w:r w:rsidRPr="0051331C">
        <w:rPr>
          <w:sz w:val="24"/>
          <w:szCs w:val="24"/>
          <w:lang w:val="ro-RO"/>
        </w:rPr>
        <w:t>sunt obligate s</w:t>
      </w:r>
      <w:r w:rsidR="00D44A46">
        <w:rPr>
          <w:sz w:val="24"/>
          <w:szCs w:val="24"/>
          <w:lang w:val="ro-RO"/>
        </w:rPr>
        <w:t>ă</w:t>
      </w:r>
      <w:r w:rsidRPr="0051331C">
        <w:rPr>
          <w:rFonts w:cstheme="minorBidi"/>
          <w:sz w:val="24"/>
          <w:szCs w:val="24"/>
          <w:lang w:val="ro-RO"/>
        </w:rPr>
        <w:t>informez</w:t>
      </w:r>
      <w:r w:rsidRPr="0051331C">
        <w:rPr>
          <w:sz w:val="24"/>
          <w:szCs w:val="24"/>
          <w:lang w:val="ro-RO"/>
        </w:rPr>
        <w:t>e</w:t>
      </w:r>
      <w:r w:rsidRPr="0051331C">
        <w:rPr>
          <w:rFonts w:cstheme="minorBidi"/>
          <w:sz w:val="24"/>
          <w:szCs w:val="24"/>
          <w:lang w:val="ro-RO"/>
        </w:rPr>
        <w:t xml:space="preserve"> persoanele cu dizabilități cu privire la oportunitățile de angajare, calificările sau competențele necesare ocupării posturilor vacante, condițiile de angajare, datele de contact ale angajatorilor și ale agenției pentru ocuparea forței de muncă din raza teritorială în care se află sediul </w:t>
      </w:r>
      <w:r w:rsidRPr="0051331C">
        <w:rPr>
          <w:sz w:val="24"/>
          <w:szCs w:val="24"/>
          <w:lang w:val="ro-RO"/>
        </w:rPr>
        <w:t>angajatorilor.</w:t>
      </w:r>
    </w:p>
    <w:p w:rsidR="009608A1" w:rsidRPr="0051331C" w:rsidRDefault="009608A1" w:rsidP="009608A1">
      <w:pPr>
        <w:ind w:left="0"/>
        <w:rPr>
          <w:rFonts w:cstheme="minorBidi"/>
          <w:sz w:val="24"/>
          <w:szCs w:val="24"/>
          <w:lang w:val="ro-RO"/>
        </w:rPr>
      </w:pPr>
      <w:r w:rsidRPr="0051331C">
        <w:rPr>
          <w:rFonts w:cstheme="minorBidi"/>
          <w:sz w:val="24"/>
          <w:szCs w:val="24"/>
          <w:lang w:val="ro-RO"/>
        </w:rPr>
        <w:t>După primirea răspunsului de la organizațiile nonguvernamentale, angajatorii vor stabili procedura de încadrare în muncă a persoanelor cu dizabilități în măsura în care acestea dețin calificările sau competențele necesare ocupării posturilor vacante.</w:t>
      </w:r>
    </w:p>
    <w:p w:rsidR="009608A1" w:rsidRPr="0051331C" w:rsidRDefault="009608A1" w:rsidP="009608A1">
      <w:pPr>
        <w:ind w:left="0"/>
        <w:rPr>
          <w:sz w:val="24"/>
          <w:szCs w:val="24"/>
          <w:lang w:val="ro-RO"/>
        </w:rPr>
      </w:pPr>
      <w:r w:rsidRPr="0051331C">
        <w:rPr>
          <w:sz w:val="24"/>
          <w:szCs w:val="24"/>
          <w:lang w:val="ro-RO"/>
        </w:rPr>
        <w:lastRenderedPageBreak/>
        <w:t xml:space="preserve">Totodată, în vederea comunicării posturilor vacante destinate persoanelor cu dizabilități, angajatorii sunt obligați să transmită la ANPDPD și la </w:t>
      </w:r>
      <w:r w:rsidRPr="00B64A8F">
        <w:rPr>
          <w:sz w:val="24"/>
          <w:szCs w:val="24"/>
          <w:lang w:val="ro-RO"/>
        </w:rPr>
        <w:t xml:space="preserve">agențiile pentru ocuparea forței de muncă din raza </w:t>
      </w:r>
      <w:r w:rsidR="004E2BD5" w:rsidRPr="0051331C">
        <w:rPr>
          <w:rFonts w:cstheme="minorBidi"/>
          <w:sz w:val="24"/>
          <w:szCs w:val="24"/>
          <w:lang w:val="ro-RO"/>
        </w:rPr>
        <w:t xml:space="preserve">teritorială în care se află </w:t>
      </w:r>
      <w:r w:rsidRPr="00B64A8F">
        <w:rPr>
          <w:sz w:val="24"/>
          <w:szCs w:val="24"/>
          <w:lang w:val="ro-RO"/>
        </w:rPr>
        <w:t>sediul social</w:t>
      </w:r>
      <w:r w:rsidRPr="0051331C">
        <w:rPr>
          <w:sz w:val="24"/>
          <w:szCs w:val="24"/>
          <w:lang w:val="ro-RO"/>
        </w:rPr>
        <w:t>cererea scrisă, precum și dovada transmiterii acesteia către organizaţiile nonguvernamentale.</w:t>
      </w:r>
    </w:p>
    <w:p w:rsidR="009608A1" w:rsidRPr="00B64A8F" w:rsidRDefault="009608A1" w:rsidP="009608A1">
      <w:pPr>
        <w:spacing w:after="160"/>
        <w:ind w:left="0"/>
        <w:rPr>
          <w:b/>
          <w:bCs/>
          <w:sz w:val="24"/>
          <w:szCs w:val="24"/>
          <w:lang w:val="ro-RO"/>
        </w:rPr>
      </w:pPr>
      <w:r w:rsidRPr="0051331C">
        <w:rPr>
          <w:sz w:val="24"/>
          <w:szCs w:val="24"/>
          <w:lang w:val="ro-RO"/>
        </w:rPr>
        <w:t xml:space="preserve">Ordinul mai prevede ca angajatorii să transmită anual, până la </w:t>
      </w:r>
      <w:r w:rsidRPr="0051331C">
        <w:rPr>
          <w:b/>
          <w:bCs/>
          <w:sz w:val="24"/>
          <w:szCs w:val="24"/>
          <w:lang w:val="ro-RO"/>
        </w:rPr>
        <w:t>31 ianuarie pentru anul anterior</w:t>
      </w:r>
      <w:r w:rsidRPr="0051331C">
        <w:rPr>
          <w:sz w:val="24"/>
          <w:szCs w:val="24"/>
          <w:lang w:val="ro-RO"/>
        </w:rPr>
        <w:t xml:space="preserve">, o situație centralizată a funcţiilor ocupate de persoanele cu dizabilităţi angajate şi un inventar al competenţelor solicitate la angajare. </w:t>
      </w:r>
      <w:r w:rsidRPr="00B64A8F">
        <w:rPr>
          <w:b/>
          <w:bCs/>
          <w:sz w:val="24"/>
          <w:szCs w:val="24"/>
          <w:lang w:val="ro-RO"/>
        </w:rPr>
        <w:t>Modelul acestei raportări este prevăzut în Anexa nr. 2 a Ordinului nr. 28/11/2025.</w:t>
      </w:r>
    </w:p>
    <w:p w:rsidR="009608A1" w:rsidRPr="0051331C" w:rsidRDefault="009608A1" w:rsidP="00C1091E">
      <w:pPr>
        <w:ind w:left="0"/>
        <w:rPr>
          <w:sz w:val="24"/>
          <w:szCs w:val="24"/>
          <w:lang w:val="ro-RO"/>
        </w:rPr>
      </w:pPr>
      <w:r w:rsidRPr="0051331C">
        <w:rPr>
          <w:sz w:val="24"/>
          <w:szCs w:val="24"/>
          <w:lang w:val="ro-RO"/>
        </w:rPr>
        <w:t xml:space="preserve">Textul complet al </w:t>
      </w:r>
      <w:r w:rsidRPr="00AC3249">
        <w:rPr>
          <w:b/>
          <w:bCs/>
          <w:sz w:val="24"/>
          <w:szCs w:val="24"/>
          <w:lang w:val="ro-RO"/>
        </w:rPr>
        <w:t>Ordinului nr. 28/11/2025</w:t>
      </w:r>
      <w:r w:rsidR="00AC3249">
        <w:rPr>
          <w:sz w:val="24"/>
          <w:szCs w:val="24"/>
          <w:lang w:val="ro-RO"/>
        </w:rPr>
        <w:t xml:space="preserve">, </w:t>
      </w:r>
      <w:r w:rsidRPr="0051331C">
        <w:rPr>
          <w:sz w:val="24"/>
          <w:szCs w:val="24"/>
          <w:lang w:val="ro-RO"/>
        </w:rPr>
        <w:t>anexele sale</w:t>
      </w:r>
      <w:r w:rsidR="00AC3249">
        <w:rPr>
          <w:sz w:val="24"/>
          <w:szCs w:val="24"/>
          <w:lang w:val="ro-RO"/>
        </w:rPr>
        <w:t xml:space="preserve"> șilink-urile pentru </w:t>
      </w:r>
      <w:r w:rsidR="00AC3249" w:rsidRPr="00AC3249">
        <w:rPr>
          <w:b/>
          <w:bCs/>
          <w:sz w:val="24"/>
          <w:szCs w:val="24"/>
        </w:rPr>
        <w:t xml:space="preserve">Registrul Național ONG, </w:t>
      </w:r>
      <w:r w:rsidR="00AC3249" w:rsidRPr="00AC3249">
        <w:rPr>
          <w:sz w:val="24"/>
          <w:szCs w:val="24"/>
        </w:rPr>
        <w:t>gestionat de Ministerul Justiției</w:t>
      </w:r>
      <w:r w:rsidR="00AC3249">
        <w:rPr>
          <w:sz w:val="24"/>
          <w:szCs w:val="24"/>
          <w:lang w:val="ro-RO"/>
        </w:rPr>
        <w:t xml:space="preserve">, precum și pentru </w:t>
      </w:r>
      <w:r w:rsidR="00AC3249" w:rsidRPr="00AC3249">
        <w:rPr>
          <w:b/>
          <w:bCs/>
          <w:sz w:val="24"/>
          <w:szCs w:val="24"/>
        </w:rPr>
        <w:t>Registrul național al furnizorilor de servicii de ocupare (activi), acreditați de ANOFM</w:t>
      </w:r>
      <w:r w:rsidR="00AC3249">
        <w:rPr>
          <w:b/>
          <w:bCs/>
          <w:sz w:val="24"/>
          <w:szCs w:val="24"/>
        </w:rPr>
        <w:t xml:space="preserve">, </w:t>
      </w:r>
      <w:r w:rsidRPr="0051331C">
        <w:rPr>
          <w:sz w:val="24"/>
          <w:szCs w:val="24"/>
          <w:lang w:val="ro-RO"/>
        </w:rPr>
        <w:t xml:space="preserve">pot fi </w:t>
      </w:r>
      <w:r w:rsidR="00AC3249">
        <w:rPr>
          <w:sz w:val="24"/>
          <w:szCs w:val="24"/>
          <w:lang w:val="ro-RO"/>
        </w:rPr>
        <w:t>accesate</w:t>
      </w:r>
      <w:r w:rsidR="00C1091E">
        <w:rPr>
          <w:sz w:val="24"/>
          <w:szCs w:val="24"/>
          <w:lang w:val="ro-RO"/>
        </w:rPr>
        <w:t>pe</w:t>
      </w:r>
      <w:r w:rsidRPr="0051331C">
        <w:rPr>
          <w:sz w:val="24"/>
          <w:szCs w:val="24"/>
          <w:lang w:val="ro-RO"/>
        </w:rPr>
        <w:t xml:space="preserve"> site-ul ANOFM, </w:t>
      </w:r>
      <w:hyperlink r:id="rId8" w:tgtFrame="_new" w:history="1">
        <w:r w:rsidRPr="0051331C">
          <w:rPr>
            <w:rStyle w:val="Hyperlink"/>
            <w:sz w:val="24"/>
            <w:szCs w:val="24"/>
            <w:lang w:val="ro-RO"/>
          </w:rPr>
          <w:t>www.anofm.ro</w:t>
        </w:r>
      </w:hyperlink>
      <w:r w:rsidRPr="0051331C">
        <w:rPr>
          <w:sz w:val="24"/>
          <w:szCs w:val="24"/>
          <w:lang w:val="ro-RO"/>
        </w:rPr>
        <w:t>, la secțiunea „</w:t>
      </w:r>
      <w:r w:rsidRPr="0051331C">
        <w:rPr>
          <w:b/>
          <w:bCs/>
          <w:sz w:val="24"/>
          <w:szCs w:val="24"/>
          <w:lang w:val="ro-RO"/>
        </w:rPr>
        <w:t>Legislație</w:t>
      </w:r>
      <w:r w:rsidRPr="0051331C">
        <w:rPr>
          <w:sz w:val="24"/>
          <w:szCs w:val="24"/>
          <w:lang w:val="ro-RO"/>
        </w:rPr>
        <w:t>”</w:t>
      </w:r>
      <w:r w:rsidR="00C1091E">
        <w:rPr>
          <w:sz w:val="24"/>
          <w:szCs w:val="24"/>
          <w:lang w:val="ro-RO"/>
        </w:rPr>
        <w:t xml:space="preserve"> (</w:t>
      </w:r>
      <w:hyperlink r:id="rId9" w:tgtFrame="_blank" w:history="1">
        <w:r w:rsidR="00C1091E" w:rsidRPr="00C1091E">
          <w:rPr>
            <w:rStyle w:val="Hyperlink"/>
            <w:b/>
            <w:bCs/>
            <w:sz w:val="24"/>
            <w:szCs w:val="24"/>
          </w:rPr>
          <w:t>https://bit.ly/4aFlXNR</w:t>
        </w:r>
      </w:hyperlink>
      <w:r w:rsidR="00C1091E" w:rsidRPr="00C1091E">
        <w:rPr>
          <w:sz w:val="24"/>
          <w:szCs w:val="24"/>
        </w:rPr>
        <w:t>.</w:t>
      </w:r>
      <w:r w:rsidR="00C1091E">
        <w:rPr>
          <w:sz w:val="24"/>
          <w:szCs w:val="24"/>
        </w:rPr>
        <w:t>)</w:t>
      </w:r>
    </w:p>
    <w:p w:rsidR="0093506B" w:rsidRPr="0051331C" w:rsidRDefault="0093506B" w:rsidP="009608A1">
      <w:pPr>
        <w:ind w:left="0"/>
        <w:rPr>
          <w:rFonts w:cs="Arial"/>
          <w:sz w:val="24"/>
          <w:szCs w:val="24"/>
          <w:lang w:val="ro-RO"/>
        </w:rPr>
      </w:pPr>
    </w:p>
    <w:p w:rsidR="0093506B" w:rsidRPr="0051331C" w:rsidRDefault="0093506B" w:rsidP="009608A1">
      <w:pPr>
        <w:ind w:left="0"/>
        <w:rPr>
          <w:rFonts w:cs="Arial"/>
          <w:sz w:val="24"/>
          <w:szCs w:val="24"/>
          <w:lang w:val="ro-RO"/>
        </w:rPr>
      </w:pPr>
    </w:p>
    <w:p w:rsidR="00F746FD" w:rsidRPr="0051331C" w:rsidRDefault="009608A1" w:rsidP="009608A1">
      <w:pPr>
        <w:ind w:left="0"/>
        <w:rPr>
          <w:rFonts w:cs="Arial"/>
          <w:b/>
          <w:bCs/>
          <w:sz w:val="24"/>
          <w:szCs w:val="24"/>
          <w:lang w:val="ro-RO"/>
        </w:rPr>
      </w:pPr>
      <w:r w:rsidRPr="0051331C">
        <w:rPr>
          <w:rFonts w:cs="Arial"/>
          <w:b/>
          <w:bCs/>
          <w:sz w:val="24"/>
          <w:szCs w:val="24"/>
          <w:lang w:val="ro-RO"/>
        </w:rPr>
        <w:t>Serviciul Comunicare și Secretariatul Consiliului de Administrație</w:t>
      </w:r>
    </w:p>
    <w:sectPr w:rsidR="00F746FD" w:rsidRPr="0051331C" w:rsidSect="003738C8">
      <w:headerReference w:type="default"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1D9" w:rsidRDefault="004111D9" w:rsidP="00CD5B3B">
      <w:r>
        <w:separator/>
      </w:r>
    </w:p>
  </w:endnote>
  <w:endnote w:type="continuationSeparator" w:id="1">
    <w:p w:rsidR="004111D9" w:rsidRDefault="004111D9" w:rsidP="00CD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AC" w:rsidRPr="00F44190" w:rsidRDefault="00E8541E" w:rsidP="00BB4295">
    <w:pPr>
      <w:pStyle w:val="Footer"/>
      <w:spacing w:after="0" w:line="240" w:lineRule="auto"/>
      <w:ind w:left="0"/>
      <w:rPr>
        <w:sz w:val="14"/>
        <w:szCs w:val="14"/>
        <w:lang w:val="ro-RO"/>
      </w:rPr>
    </w:pPr>
    <w:r>
      <w:rPr>
        <w:noProof/>
        <w:sz w:val="14"/>
        <w:szCs w:val="14"/>
      </w:rPr>
      <w:pict>
        <v:line id="Straight Connector 1" o:spid="_x0000_s1026" style="position:absolute;left:0;text-align:left;flip:y;z-index:251659264;visibility:visible"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w:r>
    <w:r w:rsidR="004320AC" w:rsidRPr="002A367B">
      <w:rPr>
        <w:sz w:val="14"/>
        <w:szCs w:val="14"/>
        <w:lang w:val="ro-RO"/>
      </w:rPr>
      <w:t>AGENŢIA NAŢIONALĂ PENTRU OCUPAREA FORŢEI DE MUNCĂ</w:t>
    </w:r>
    <w:r w:rsidR="004320AC" w:rsidRPr="00F44190">
      <w:rPr>
        <w:sz w:val="14"/>
        <w:szCs w:val="14"/>
        <w:lang w:val="ro-RO"/>
      </w:rPr>
      <w:tab/>
    </w:r>
    <w:r w:rsidR="004320AC">
      <w:rPr>
        <w:sz w:val="14"/>
        <w:szCs w:val="14"/>
        <w:lang w:val="ro-RO"/>
      </w:rPr>
      <w:tab/>
    </w:r>
    <w:r w:rsidR="004320AC" w:rsidRPr="00F44190">
      <w:rPr>
        <w:sz w:val="14"/>
        <w:szCs w:val="14"/>
        <w:lang w:val="ro-RO"/>
      </w:rPr>
      <w:t xml:space="preserve">pagina </w:t>
    </w:r>
    <w:r w:rsidRPr="002A367B">
      <w:rPr>
        <w:sz w:val="14"/>
        <w:szCs w:val="14"/>
        <w:lang w:val="ro-RO"/>
      </w:rPr>
      <w:fldChar w:fldCharType="begin"/>
    </w:r>
    <w:r w:rsidR="004320AC" w:rsidRPr="002A367B">
      <w:rPr>
        <w:sz w:val="14"/>
        <w:szCs w:val="14"/>
        <w:lang w:val="ro-RO"/>
      </w:rPr>
      <w:instrText>PAGE   \* MERGEFORMAT</w:instrText>
    </w:r>
    <w:r w:rsidRPr="002A367B">
      <w:rPr>
        <w:sz w:val="14"/>
        <w:szCs w:val="14"/>
        <w:lang w:val="ro-RO"/>
      </w:rPr>
      <w:fldChar w:fldCharType="separate"/>
    </w:r>
    <w:r w:rsidR="001A16A3">
      <w:rPr>
        <w:noProof/>
        <w:sz w:val="14"/>
        <w:szCs w:val="14"/>
        <w:lang w:val="ro-RO"/>
      </w:rPr>
      <w:t>2</w:t>
    </w:r>
    <w:r w:rsidRPr="002A367B">
      <w:rPr>
        <w:sz w:val="14"/>
        <w:szCs w:val="14"/>
        <w:lang w:val="ro-RO"/>
      </w:rPr>
      <w:fldChar w:fldCharType="end"/>
    </w:r>
    <w:r w:rsidR="004320AC" w:rsidRPr="00F44190">
      <w:rPr>
        <w:sz w:val="14"/>
        <w:szCs w:val="14"/>
        <w:lang w:val="ro-RO"/>
      </w:rPr>
      <w:t xml:space="preserve"> din </w:t>
    </w:r>
    <w:fldSimple w:instr=" NUMPAGES   \* MERGEFORMAT ">
      <w:r w:rsidR="001A16A3">
        <w:rPr>
          <w:noProof/>
          <w:sz w:val="14"/>
          <w:szCs w:val="14"/>
          <w:lang w:val="ro-RO"/>
        </w:rPr>
        <w:t>2</w:t>
      </w:r>
    </w:fldSimple>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AC" w:rsidRPr="00F44190" w:rsidRDefault="00E8541E" w:rsidP="00BB4295">
    <w:pPr>
      <w:pStyle w:val="Footer"/>
      <w:spacing w:after="0" w:line="240" w:lineRule="auto"/>
      <w:ind w:left="0"/>
      <w:rPr>
        <w:sz w:val="14"/>
        <w:szCs w:val="14"/>
        <w:lang w:val="ro-RO"/>
      </w:rPr>
    </w:pPr>
    <w:r>
      <w:rPr>
        <w:noProof/>
        <w:sz w:val="14"/>
        <w:szCs w:val="14"/>
      </w:rPr>
      <w:pict>
        <v:line id="Straight Connector 3" o:spid="_x0000_s1027" style="position:absolute;left:0;text-align:left;flip:y;z-index:251660288;visibility:visible"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STVNBd4AAAAKAQAADwAAAGRycy9kb3ducmV2LnhtbEyPQU/DMAyF70j8h8hI&#10;3La0HZugNJ0QY2fEAIlj1pi2kDhVkm3tv8c7sZPl56f3Plfr0VlxxBB7TwryeQYCqfGmp1bBx/t2&#10;dg8iJk1GW0+oYMII6/r6qtKl8Sd6w+MutYJDKJZaQZfSUEoZmw6djnM/IPHt2wenE6+hlSboE4c7&#10;K4ssW0mne+KGTg/43GHzuzs4BdG2Lz/T5+Q3hQnTZhu/8DW/U+r2Znx6BJFwTP9mOOMzOtTMtPcH&#10;MlFYBbOcyRPPYrUEwYaHfFGA2J+VxRJkXcnLF+o/AAAA//8DAFBLAQItABQABgAIAAAAIQC2gziS&#10;/gAAAOEBAAATAAAAAAAAAAAAAAAAAAAAAABbQ29udGVudF9UeXBlc10ueG1sUEsBAi0AFAAGAAgA&#10;AAAhADj9If/WAAAAlAEAAAsAAAAAAAAAAAAAAAAALwEAAF9yZWxzLy5yZWxzUEsBAi0AFAAGAAgA&#10;AAAhABnNFDamAQAAogMAAA4AAAAAAAAAAAAAAAAALgIAAGRycy9lMm9Eb2MueG1sUEsBAi0AFAAG&#10;AAgAAAAhAEk1TQXeAAAACgEAAA8AAAAAAAAAAAAAAAAAAAQAAGRycy9kb3ducmV2LnhtbFBLBQYA&#10;AAAABAAEAPMAAAALBQAAAAA=&#10;" strokecolor="#4579b8 [3044]"/>
      </w:pict>
    </w:r>
    <w:r w:rsidR="004320AC" w:rsidRPr="002A367B">
      <w:rPr>
        <w:sz w:val="14"/>
        <w:szCs w:val="14"/>
        <w:lang w:val="ro-RO"/>
      </w:rPr>
      <w:t>AGENŢIA NAŢIONALĂ PENTRU OCUPAREA FORŢEI DE MUNCĂ</w:t>
    </w:r>
    <w:r w:rsidR="004320AC" w:rsidRPr="00F44190">
      <w:rPr>
        <w:sz w:val="14"/>
        <w:szCs w:val="14"/>
        <w:lang w:val="ro-RO"/>
      </w:rPr>
      <w:tab/>
    </w:r>
    <w:r w:rsidR="004320AC">
      <w:rPr>
        <w:sz w:val="14"/>
        <w:szCs w:val="14"/>
        <w:lang w:val="ro-RO"/>
      </w:rPr>
      <w:tab/>
    </w:r>
    <w:r w:rsidR="004320AC" w:rsidRPr="00F44190">
      <w:rPr>
        <w:sz w:val="14"/>
        <w:szCs w:val="14"/>
        <w:lang w:val="ro-RO"/>
      </w:rPr>
      <w:t xml:space="preserve">pagina </w:t>
    </w:r>
    <w:r w:rsidRPr="002A367B">
      <w:rPr>
        <w:sz w:val="14"/>
        <w:szCs w:val="14"/>
        <w:lang w:val="ro-RO"/>
      </w:rPr>
      <w:fldChar w:fldCharType="begin"/>
    </w:r>
    <w:r w:rsidR="004320AC" w:rsidRPr="002A367B">
      <w:rPr>
        <w:sz w:val="14"/>
        <w:szCs w:val="14"/>
        <w:lang w:val="ro-RO"/>
      </w:rPr>
      <w:instrText>PAGE   \* MERGEFORMAT</w:instrText>
    </w:r>
    <w:r w:rsidRPr="002A367B">
      <w:rPr>
        <w:sz w:val="14"/>
        <w:szCs w:val="14"/>
        <w:lang w:val="ro-RO"/>
      </w:rPr>
      <w:fldChar w:fldCharType="separate"/>
    </w:r>
    <w:r w:rsidR="001A16A3">
      <w:rPr>
        <w:noProof/>
        <w:sz w:val="14"/>
        <w:szCs w:val="14"/>
        <w:lang w:val="ro-RO"/>
      </w:rPr>
      <w:t>1</w:t>
    </w:r>
    <w:r w:rsidRPr="002A367B">
      <w:rPr>
        <w:sz w:val="14"/>
        <w:szCs w:val="14"/>
        <w:lang w:val="ro-RO"/>
      </w:rPr>
      <w:fldChar w:fldCharType="end"/>
    </w:r>
    <w:r w:rsidR="004320AC" w:rsidRPr="00F44190">
      <w:rPr>
        <w:sz w:val="14"/>
        <w:szCs w:val="14"/>
        <w:lang w:val="ro-RO"/>
      </w:rPr>
      <w:t xml:space="preserve"> din </w:t>
    </w:r>
    <w:fldSimple w:instr=" NUMPAGES   \* MERGEFORMAT ">
      <w:r w:rsidR="001A16A3">
        <w:rPr>
          <w:noProof/>
          <w:sz w:val="14"/>
          <w:szCs w:val="14"/>
          <w:lang w:val="ro-RO"/>
        </w:rPr>
        <w:t>2</w:t>
      </w:r>
    </w:fldSimple>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1D9" w:rsidRDefault="004111D9" w:rsidP="00CD5B3B">
      <w:r>
        <w:separator/>
      </w:r>
    </w:p>
  </w:footnote>
  <w:footnote w:type="continuationSeparator" w:id="1">
    <w:p w:rsidR="004111D9" w:rsidRDefault="004111D9"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9214" w:type="dxa"/>
      <w:tblCellMar>
        <w:left w:w="0" w:type="dxa"/>
        <w:right w:w="0" w:type="dxa"/>
      </w:tblCellMar>
      <w:tblLook w:val="04A0"/>
    </w:tblPr>
    <w:tblGrid>
      <w:gridCol w:w="6378"/>
      <w:gridCol w:w="2836"/>
    </w:tblGrid>
    <w:tr w:rsidR="004320AC" w:rsidTr="003738C8">
      <w:trPr>
        <w:trHeight w:val="987"/>
      </w:trPr>
      <w:tc>
        <w:tcPr>
          <w:tcW w:w="5103" w:type="dxa"/>
          <w:shd w:val="clear" w:color="auto" w:fill="auto"/>
        </w:tcPr>
        <w:p w:rsidR="004320AC" w:rsidRPr="00CD5B3B" w:rsidRDefault="00102939" w:rsidP="00011077">
          <w:pPr>
            <w:pStyle w:val="MediumGrid21"/>
          </w:pPr>
          <w:r>
            <w:rPr>
              <w:noProof/>
            </w:rPr>
            <w:drawing>
              <wp:inline distT="0" distB="0" distL="0" distR="0">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1701" w:type="dxa"/>
      <w:tblCellMar>
        <w:left w:w="0" w:type="dxa"/>
        <w:right w:w="0" w:type="dxa"/>
      </w:tblCellMar>
      <w:tblLook w:val="04A0"/>
    </w:tblPr>
    <w:tblGrid>
      <w:gridCol w:w="8647"/>
      <w:gridCol w:w="2126"/>
    </w:tblGrid>
    <w:tr w:rsidR="004320AC" w:rsidTr="0007474B">
      <w:tc>
        <w:tcPr>
          <w:tcW w:w="8647" w:type="dxa"/>
          <w:shd w:val="clear" w:color="auto" w:fill="auto"/>
        </w:tcPr>
        <w:p w:rsidR="004320AC" w:rsidRPr="00B44471" w:rsidRDefault="00102939" w:rsidP="0081589B">
          <w:pPr>
            <w:pStyle w:val="MediumGrid21"/>
            <w:rPr>
              <w:lang w:val="ro-RO"/>
            </w:rPr>
          </w:pPr>
          <w:r>
            <w:rPr>
              <w:noProof/>
              <w:sz w:val="16"/>
              <w:szCs w:val="16"/>
            </w:rPr>
            <w:drawing>
              <wp:inline distT="0" distB="0" distL="0" distR="0">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8240" behindDoc="0" locked="0" layoutInCell="1" allowOverlap="1">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4320AC" w:rsidRPr="0081589B" w:rsidRDefault="004320AC" w:rsidP="0081589B">
    <w:pPr>
      <w:pStyle w:val="Header"/>
      <w:ind w:left="0"/>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9608A1"/>
    <w:rsid w:val="00011077"/>
    <w:rsid w:val="00013E11"/>
    <w:rsid w:val="000270BE"/>
    <w:rsid w:val="0003163C"/>
    <w:rsid w:val="000373AF"/>
    <w:rsid w:val="00042E51"/>
    <w:rsid w:val="00051AA3"/>
    <w:rsid w:val="0007474B"/>
    <w:rsid w:val="00074D5F"/>
    <w:rsid w:val="00080FB7"/>
    <w:rsid w:val="0008185F"/>
    <w:rsid w:val="00082DF5"/>
    <w:rsid w:val="000832EB"/>
    <w:rsid w:val="000843AE"/>
    <w:rsid w:val="000965C5"/>
    <w:rsid w:val="000A31B4"/>
    <w:rsid w:val="000C071C"/>
    <w:rsid w:val="000C16DF"/>
    <w:rsid w:val="000C24D5"/>
    <w:rsid w:val="000C30D0"/>
    <w:rsid w:val="000F2163"/>
    <w:rsid w:val="000F4B28"/>
    <w:rsid w:val="000F688A"/>
    <w:rsid w:val="00100F36"/>
    <w:rsid w:val="00102939"/>
    <w:rsid w:val="001106FA"/>
    <w:rsid w:val="00117CB9"/>
    <w:rsid w:val="001632A2"/>
    <w:rsid w:val="001856EE"/>
    <w:rsid w:val="00193E26"/>
    <w:rsid w:val="001A16A3"/>
    <w:rsid w:val="001C613B"/>
    <w:rsid w:val="001C7677"/>
    <w:rsid w:val="001D2C99"/>
    <w:rsid w:val="001F6EEC"/>
    <w:rsid w:val="001F7A3C"/>
    <w:rsid w:val="002046C8"/>
    <w:rsid w:val="0021532B"/>
    <w:rsid w:val="00216274"/>
    <w:rsid w:val="00262EF1"/>
    <w:rsid w:val="002673A1"/>
    <w:rsid w:val="0028016A"/>
    <w:rsid w:val="00282029"/>
    <w:rsid w:val="00294102"/>
    <w:rsid w:val="002A1C92"/>
    <w:rsid w:val="002A4FF7"/>
    <w:rsid w:val="002A5742"/>
    <w:rsid w:val="002B426C"/>
    <w:rsid w:val="002B70FE"/>
    <w:rsid w:val="002C59E9"/>
    <w:rsid w:val="002E3C3B"/>
    <w:rsid w:val="002F29B8"/>
    <w:rsid w:val="00305DE5"/>
    <w:rsid w:val="003070E3"/>
    <w:rsid w:val="003115C1"/>
    <w:rsid w:val="00312081"/>
    <w:rsid w:val="003134B0"/>
    <w:rsid w:val="003441B9"/>
    <w:rsid w:val="00352AFE"/>
    <w:rsid w:val="00367AC0"/>
    <w:rsid w:val="003738C8"/>
    <w:rsid w:val="00373E18"/>
    <w:rsid w:val="00395093"/>
    <w:rsid w:val="003950C5"/>
    <w:rsid w:val="003B7171"/>
    <w:rsid w:val="003C4F2C"/>
    <w:rsid w:val="003C5F18"/>
    <w:rsid w:val="003D0D81"/>
    <w:rsid w:val="003D5A60"/>
    <w:rsid w:val="003F4685"/>
    <w:rsid w:val="00403C3F"/>
    <w:rsid w:val="00403F09"/>
    <w:rsid w:val="00404B84"/>
    <w:rsid w:val="00407382"/>
    <w:rsid w:val="004111D9"/>
    <w:rsid w:val="00412DAB"/>
    <w:rsid w:val="00427C17"/>
    <w:rsid w:val="004320AC"/>
    <w:rsid w:val="00441E15"/>
    <w:rsid w:val="00443AE8"/>
    <w:rsid w:val="004510F7"/>
    <w:rsid w:val="00451AD0"/>
    <w:rsid w:val="0045426E"/>
    <w:rsid w:val="00455816"/>
    <w:rsid w:val="00465ABF"/>
    <w:rsid w:val="004713A4"/>
    <w:rsid w:val="004714D6"/>
    <w:rsid w:val="00493AD5"/>
    <w:rsid w:val="004D0A4A"/>
    <w:rsid w:val="004D5F89"/>
    <w:rsid w:val="004E2BD5"/>
    <w:rsid w:val="004E3CBB"/>
    <w:rsid w:val="004E47D4"/>
    <w:rsid w:val="004F177E"/>
    <w:rsid w:val="00507615"/>
    <w:rsid w:val="00511D6E"/>
    <w:rsid w:val="00511EC1"/>
    <w:rsid w:val="0051331C"/>
    <w:rsid w:val="0051391D"/>
    <w:rsid w:val="00533EF7"/>
    <w:rsid w:val="005522B7"/>
    <w:rsid w:val="00554C2D"/>
    <w:rsid w:val="0056387D"/>
    <w:rsid w:val="00567554"/>
    <w:rsid w:val="0057501B"/>
    <w:rsid w:val="00577B20"/>
    <w:rsid w:val="00582C45"/>
    <w:rsid w:val="00595A78"/>
    <w:rsid w:val="005A0010"/>
    <w:rsid w:val="005A19CB"/>
    <w:rsid w:val="005A36DF"/>
    <w:rsid w:val="005A789B"/>
    <w:rsid w:val="005B0684"/>
    <w:rsid w:val="005C6DC4"/>
    <w:rsid w:val="005D41C7"/>
    <w:rsid w:val="005E6FFA"/>
    <w:rsid w:val="005F1A51"/>
    <w:rsid w:val="005F756F"/>
    <w:rsid w:val="0061261F"/>
    <w:rsid w:val="00633A40"/>
    <w:rsid w:val="00646585"/>
    <w:rsid w:val="006579C6"/>
    <w:rsid w:val="00667EA7"/>
    <w:rsid w:val="00675794"/>
    <w:rsid w:val="006776F9"/>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35432"/>
    <w:rsid w:val="0076375B"/>
    <w:rsid w:val="00766E0E"/>
    <w:rsid w:val="007914E2"/>
    <w:rsid w:val="007966D9"/>
    <w:rsid w:val="007B005F"/>
    <w:rsid w:val="007B54D2"/>
    <w:rsid w:val="007C1093"/>
    <w:rsid w:val="007C1EDA"/>
    <w:rsid w:val="007C627B"/>
    <w:rsid w:val="007D12BD"/>
    <w:rsid w:val="0080611A"/>
    <w:rsid w:val="008114F7"/>
    <w:rsid w:val="0081302F"/>
    <w:rsid w:val="0081589B"/>
    <w:rsid w:val="0082149F"/>
    <w:rsid w:val="00831511"/>
    <w:rsid w:val="00842570"/>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06BD9"/>
    <w:rsid w:val="00915096"/>
    <w:rsid w:val="009312CC"/>
    <w:rsid w:val="00931B51"/>
    <w:rsid w:val="0093506B"/>
    <w:rsid w:val="00944611"/>
    <w:rsid w:val="009508C1"/>
    <w:rsid w:val="00956C81"/>
    <w:rsid w:val="009608A1"/>
    <w:rsid w:val="00976C79"/>
    <w:rsid w:val="00985FA2"/>
    <w:rsid w:val="009C4816"/>
    <w:rsid w:val="00A73B09"/>
    <w:rsid w:val="00A84CF2"/>
    <w:rsid w:val="00A9099B"/>
    <w:rsid w:val="00A90C70"/>
    <w:rsid w:val="00A92206"/>
    <w:rsid w:val="00AA090C"/>
    <w:rsid w:val="00AA565A"/>
    <w:rsid w:val="00AB6801"/>
    <w:rsid w:val="00AC3249"/>
    <w:rsid w:val="00AD6AD2"/>
    <w:rsid w:val="00AE1CF4"/>
    <w:rsid w:val="00AE26B4"/>
    <w:rsid w:val="00B13577"/>
    <w:rsid w:val="00B13BB4"/>
    <w:rsid w:val="00B221F5"/>
    <w:rsid w:val="00B2305A"/>
    <w:rsid w:val="00B4147D"/>
    <w:rsid w:val="00B423F2"/>
    <w:rsid w:val="00B44471"/>
    <w:rsid w:val="00B53DD5"/>
    <w:rsid w:val="00B56680"/>
    <w:rsid w:val="00B62D39"/>
    <w:rsid w:val="00B64A8F"/>
    <w:rsid w:val="00B65876"/>
    <w:rsid w:val="00B711A9"/>
    <w:rsid w:val="00BB4295"/>
    <w:rsid w:val="00BE1E42"/>
    <w:rsid w:val="00BE283F"/>
    <w:rsid w:val="00BE7B02"/>
    <w:rsid w:val="00C05F49"/>
    <w:rsid w:val="00C1091E"/>
    <w:rsid w:val="00C20EF1"/>
    <w:rsid w:val="00C6554C"/>
    <w:rsid w:val="00C752FA"/>
    <w:rsid w:val="00C82169"/>
    <w:rsid w:val="00C82841"/>
    <w:rsid w:val="00C92DE1"/>
    <w:rsid w:val="00C94CC6"/>
    <w:rsid w:val="00CB567C"/>
    <w:rsid w:val="00CC1BCE"/>
    <w:rsid w:val="00CC3917"/>
    <w:rsid w:val="00CD0C6C"/>
    <w:rsid w:val="00CD0F06"/>
    <w:rsid w:val="00CD17CD"/>
    <w:rsid w:val="00CD5B3B"/>
    <w:rsid w:val="00CF45B2"/>
    <w:rsid w:val="00CF79B2"/>
    <w:rsid w:val="00CF7E5D"/>
    <w:rsid w:val="00D040A5"/>
    <w:rsid w:val="00D06E9C"/>
    <w:rsid w:val="00D1280C"/>
    <w:rsid w:val="00D15E92"/>
    <w:rsid w:val="00D163EB"/>
    <w:rsid w:val="00D27104"/>
    <w:rsid w:val="00D27D4C"/>
    <w:rsid w:val="00D30A85"/>
    <w:rsid w:val="00D44463"/>
    <w:rsid w:val="00D4486D"/>
    <w:rsid w:val="00D44A46"/>
    <w:rsid w:val="00D474C0"/>
    <w:rsid w:val="00D64B66"/>
    <w:rsid w:val="00D7361E"/>
    <w:rsid w:val="00D86042"/>
    <w:rsid w:val="00D86D72"/>
    <w:rsid w:val="00D86F1D"/>
    <w:rsid w:val="00D9640B"/>
    <w:rsid w:val="00D96A31"/>
    <w:rsid w:val="00DA1C6B"/>
    <w:rsid w:val="00DC0E34"/>
    <w:rsid w:val="00DC4D0D"/>
    <w:rsid w:val="00DD042E"/>
    <w:rsid w:val="00DD34A9"/>
    <w:rsid w:val="00DD4E72"/>
    <w:rsid w:val="00DE6A18"/>
    <w:rsid w:val="00DE7FC8"/>
    <w:rsid w:val="00DF42F3"/>
    <w:rsid w:val="00E462CE"/>
    <w:rsid w:val="00E562FC"/>
    <w:rsid w:val="00E60ED7"/>
    <w:rsid w:val="00E756F5"/>
    <w:rsid w:val="00E8541E"/>
    <w:rsid w:val="00E96F2D"/>
    <w:rsid w:val="00EA0F6C"/>
    <w:rsid w:val="00EA55AC"/>
    <w:rsid w:val="00EB6EBB"/>
    <w:rsid w:val="00EE05BA"/>
    <w:rsid w:val="00F12FB0"/>
    <w:rsid w:val="00F14EC5"/>
    <w:rsid w:val="00F20FDD"/>
    <w:rsid w:val="00F415E0"/>
    <w:rsid w:val="00F517FD"/>
    <w:rsid w:val="00F5239C"/>
    <w:rsid w:val="00F659E6"/>
    <w:rsid w:val="00F67D20"/>
    <w:rsid w:val="00F746FD"/>
    <w:rsid w:val="00F74983"/>
    <w:rsid w:val="00F77807"/>
    <w:rsid w:val="00F8365A"/>
    <w:rsid w:val="00F87076"/>
    <w:rsid w:val="00F875DF"/>
    <w:rsid w:val="00F90E17"/>
    <w:rsid w:val="00F95CAE"/>
    <w:rsid w:val="00FB0762"/>
    <w:rsid w:val="00FB6D27"/>
    <w:rsid w:val="00FC2E87"/>
    <w:rsid w:val="00FC4284"/>
    <w:rsid w:val="00FD2697"/>
    <w:rsid w:val="00FE0A73"/>
    <w:rsid w:val="00FE2F2C"/>
    <w:rsid w:val="00FE784D"/>
    <w:rsid w:val="00FF0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customStyle="1" w:styleId="UnresolvedMention">
    <w:name w:val="Unresolved Mention"/>
    <w:basedOn w:val="DefaultParagraphFont"/>
    <w:uiPriority w:val="99"/>
    <w:semiHidden/>
    <w:unhideWhenUsed/>
    <w:rsid w:val="00C109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520777012">
      <w:bodyDiv w:val="1"/>
      <w:marLeft w:val="0"/>
      <w:marRight w:val="0"/>
      <w:marTop w:val="0"/>
      <w:marBottom w:val="0"/>
      <w:divBdr>
        <w:top w:val="none" w:sz="0" w:space="0" w:color="auto"/>
        <w:left w:val="none" w:sz="0" w:space="0" w:color="auto"/>
        <w:bottom w:val="none" w:sz="0" w:space="0" w:color="auto"/>
        <w:right w:val="none" w:sz="0" w:space="0" w:color="auto"/>
      </w:divBdr>
      <w:divsChild>
        <w:div w:id="1436748748">
          <w:marLeft w:val="0"/>
          <w:marRight w:val="0"/>
          <w:marTop w:val="0"/>
          <w:marBottom w:val="0"/>
          <w:divBdr>
            <w:top w:val="none" w:sz="0" w:space="0" w:color="auto"/>
            <w:left w:val="none" w:sz="0" w:space="0" w:color="auto"/>
            <w:bottom w:val="none" w:sz="0" w:space="0" w:color="auto"/>
            <w:right w:val="none" w:sz="0" w:space="0" w:color="auto"/>
          </w:divBdr>
          <w:divsChild>
            <w:div w:id="1219439935">
              <w:marLeft w:val="0"/>
              <w:marRight w:val="0"/>
              <w:marTop w:val="0"/>
              <w:marBottom w:val="0"/>
              <w:divBdr>
                <w:top w:val="none" w:sz="0" w:space="0" w:color="auto"/>
                <w:left w:val="none" w:sz="0" w:space="0" w:color="auto"/>
                <w:bottom w:val="none" w:sz="0" w:space="0" w:color="auto"/>
                <w:right w:val="none" w:sz="0" w:space="0" w:color="auto"/>
              </w:divBdr>
              <w:divsChild>
                <w:div w:id="203297438">
                  <w:marLeft w:val="0"/>
                  <w:marRight w:val="0"/>
                  <w:marTop w:val="0"/>
                  <w:marBottom w:val="0"/>
                  <w:divBdr>
                    <w:top w:val="none" w:sz="0" w:space="0" w:color="auto"/>
                    <w:left w:val="none" w:sz="0" w:space="0" w:color="auto"/>
                    <w:bottom w:val="none" w:sz="0" w:space="0" w:color="auto"/>
                    <w:right w:val="none" w:sz="0" w:space="0" w:color="auto"/>
                  </w:divBdr>
                  <w:divsChild>
                    <w:div w:id="346947948">
                      <w:marLeft w:val="0"/>
                      <w:marRight w:val="0"/>
                      <w:marTop w:val="0"/>
                      <w:marBottom w:val="0"/>
                      <w:divBdr>
                        <w:top w:val="none" w:sz="0" w:space="0" w:color="auto"/>
                        <w:left w:val="none" w:sz="0" w:space="0" w:color="auto"/>
                        <w:bottom w:val="none" w:sz="0" w:space="0" w:color="auto"/>
                        <w:right w:val="none" w:sz="0" w:space="0" w:color="auto"/>
                      </w:divBdr>
                      <w:divsChild>
                        <w:div w:id="383137269">
                          <w:marLeft w:val="0"/>
                          <w:marRight w:val="0"/>
                          <w:marTop w:val="0"/>
                          <w:marBottom w:val="0"/>
                          <w:divBdr>
                            <w:top w:val="none" w:sz="0" w:space="0" w:color="auto"/>
                            <w:left w:val="none" w:sz="0" w:space="0" w:color="auto"/>
                            <w:bottom w:val="none" w:sz="0" w:space="0" w:color="auto"/>
                            <w:right w:val="none" w:sz="0" w:space="0" w:color="auto"/>
                          </w:divBdr>
                          <w:divsChild>
                            <w:div w:id="72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00888">
      <w:bodyDiv w:val="1"/>
      <w:marLeft w:val="0"/>
      <w:marRight w:val="0"/>
      <w:marTop w:val="0"/>
      <w:marBottom w:val="0"/>
      <w:divBdr>
        <w:top w:val="none" w:sz="0" w:space="0" w:color="auto"/>
        <w:left w:val="none" w:sz="0" w:space="0" w:color="auto"/>
        <w:bottom w:val="none" w:sz="0" w:space="0" w:color="auto"/>
        <w:right w:val="none" w:sz="0" w:space="0" w:color="auto"/>
      </w:divBdr>
      <w:divsChild>
        <w:div w:id="812675562">
          <w:marLeft w:val="0"/>
          <w:marRight w:val="0"/>
          <w:marTop w:val="0"/>
          <w:marBottom w:val="0"/>
          <w:divBdr>
            <w:top w:val="none" w:sz="0" w:space="0" w:color="auto"/>
            <w:left w:val="none" w:sz="0" w:space="0" w:color="auto"/>
            <w:bottom w:val="none" w:sz="0" w:space="0" w:color="auto"/>
            <w:right w:val="none" w:sz="0" w:space="0" w:color="auto"/>
          </w:divBdr>
          <w:divsChild>
            <w:div w:id="1627470560">
              <w:marLeft w:val="0"/>
              <w:marRight w:val="0"/>
              <w:marTop w:val="0"/>
              <w:marBottom w:val="0"/>
              <w:divBdr>
                <w:top w:val="none" w:sz="0" w:space="0" w:color="auto"/>
                <w:left w:val="none" w:sz="0" w:space="0" w:color="auto"/>
                <w:bottom w:val="none" w:sz="0" w:space="0" w:color="auto"/>
                <w:right w:val="none" w:sz="0" w:space="0" w:color="auto"/>
              </w:divBdr>
              <w:divsChild>
                <w:div w:id="1351682968">
                  <w:marLeft w:val="0"/>
                  <w:marRight w:val="0"/>
                  <w:marTop w:val="0"/>
                  <w:marBottom w:val="0"/>
                  <w:divBdr>
                    <w:top w:val="none" w:sz="0" w:space="0" w:color="auto"/>
                    <w:left w:val="none" w:sz="0" w:space="0" w:color="auto"/>
                    <w:bottom w:val="none" w:sz="0" w:space="0" w:color="auto"/>
                    <w:right w:val="none" w:sz="0" w:space="0" w:color="auto"/>
                  </w:divBdr>
                  <w:divsChild>
                    <w:div w:id="1262103964">
                      <w:marLeft w:val="0"/>
                      <w:marRight w:val="0"/>
                      <w:marTop w:val="0"/>
                      <w:marBottom w:val="0"/>
                      <w:divBdr>
                        <w:top w:val="none" w:sz="0" w:space="0" w:color="auto"/>
                        <w:left w:val="none" w:sz="0" w:space="0" w:color="auto"/>
                        <w:bottom w:val="none" w:sz="0" w:space="0" w:color="auto"/>
                        <w:right w:val="none" w:sz="0" w:space="0" w:color="auto"/>
                      </w:divBdr>
                      <w:divsChild>
                        <w:div w:id="46877706">
                          <w:marLeft w:val="0"/>
                          <w:marRight w:val="0"/>
                          <w:marTop w:val="0"/>
                          <w:marBottom w:val="0"/>
                          <w:divBdr>
                            <w:top w:val="none" w:sz="0" w:space="0" w:color="auto"/>
                            <w:left w:val="none" w:sz="0" w:space="0" w:color="auto"/>
                            <w:bottom w:val="none" w:sz="0" w:space="0" w:color="auto"/>
                            <w:right w:val="none" w:sz="0" w:space="0" w:color="auto"/>
                          </w:divBdr>
                          <w:divsChild>
                            <w:div w:id="1790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4aFlXNR?fbclid=IwZXh0bgNhZW0CMTAAAR3_Tjz6q5UFk_qa9HQT3HLK5nCg_WS3ZV-3ojx0x6vFS3e54fdZ_5F9-OU_aem_VAkOszCP1cD19C3pEtPRp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template%20antet%20ANOFM%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625D0-96CF-4EA2-A48D-A9DCDBDE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ian 2025.dotx</Template>
  <TotalTime>0</TotalTime>
  <Pages>2</Pages>
  <Words>524</Words>
  <Characters>2991</Characters>
  <Application>Microsoft Office Word</Application>
  <DocSecurity>0</DocSecurity>
  <Lines>24</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3508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Florin</cp:lastModifiedBy>
  <cp:revision>2</cp:revision>
  <cp:lastPrinted>2025-01-30T15:38:00Z</cp:lastPrinted>
  <dcterms:created xsi:type="dcterms:W3CDTF">2025-02-02T14:28:00Z</dcterms:created>
  <dcterms:modified xsi:type="dcterms:W3CDTF">2025-02-02T14:28:00Z</dcterms:modified>
</cp:coreProperties>
</file>