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FFC15" w14:textId="72CAD192" w:rsidR="0088036F" w:rsidRPr="00F47E41" w:rsidRDefault="00594493" w:rsidP="0088036F">
      <w:pPr>
        <w:ind w:left="720"/>
        <w:jc w:val="right"/>
        <w:rPr>
          <w:b/>
          <w:sz w:val="24"/>
          <w:szCs w:val="24"/>
        </w:rPr>
      </w:pPr>
      <w:proofErr w:type="spellStart"/>
      <w:r>
        <w:rPr>
          <w:b/>
          <w:sz w:val="24"/>
          <w:szCs w:val="24"/>
        </w:rPr>
        <w:t>A</w:t>
      </w:r>
      <w:r w:rsidR="007C6ACA" w:rsidRPr="00F47E41">
        <w:rPr>
          <w:b/>
          <w:sz w:val="24"/>
          <w:szCs w:val="24"/>
        </w:rPr>
        <w:t>pril</w:t>
      </w:r>
      <w:r w:rsidR="006F33E7" w:rsidRPr="00F47E41">
        <w:rPr>
          <w:b/>
          <w:sz w:val="24"/>
          <w:szCs w:val="24"/>
        </w:rPr>
        <w:t>ie</w:t>
      </w:r>
      <w:proofErr w:type="spellEnd"/>
      <w:r w:rsidR="0088036F" w:rsidRPr="00F47E41">
        <w:rPr>
          <w:b/>
          <w:sz w:val="24"/>
          <w:szCs w:val="24"/>
        </w:rPr>
        <w:t xml:space="preserve"> 2025</w:t>
      </w:r>
    </w:p>
    <w:p w14:paraId="5AB892D5" w14:textId="77777777" w:rsidR="00480979" w:rsidRPr="00480979" w:rsidRDefault="00480979" w:rsidP="00480979">
      <w:pPr>
        <w:ind w:left="0" w:right="538"/>
        <w:rPr>
          <w:b/>
          <w:sz w:val="24"/>
          <w:szCs w:val="24"/>
          <w:lang w:val="ro-RO"/>
        </w:rPr>
      </w:pPr>
    </w:p>
    <w:p w14:paraId="7115A792" w14:textId="2B961683" w:rsidR="00480979" w:rsidRPr="00F47E41" w:rsidRDefault="00480979" w:rsidP="00480979">
      <w:pPr>
        <w:ind w:left="0" w:right="538"/>
        <w:jc w:val="center"/>
        <w:rPr>
          <w:b/>
          <w:bCs/>
          <w:sz w:val="24"/>
          <w:szCs w:val="24"/>
          <w:lang w:val="ro-RO"/>
        </w:rPr>
      </w:pPr>
      <w:r w:rsidRPr="00480979">
        <w:rPr>
          <w:b/>
          <w:bCs/>
          <w:sz w:val="24"/>
          <w:szCs w:val="24"/>
          <w:lang w:val="ro-RO"/>
        </w:rPr>
        <w:t xml:space="preserve">Situaţia statistică </w:t>
      </w:r>
      <w:r w:rsidRPr="00F47E41">
        <w:rPr>
          <w:b/>
          <w:bCs/>
          <w:sz w:val="24"/>
          <w:szCs w:val="24"/>
          <w:lang w:val="ro-RO"/>
        </w:rPr>
        <w:t>a şomajului înregistrat la 31 MARTIE 2025</w:t>
      </w:r>
    </w:p>
    <w:p w14:paraId="74439C5E" w14:textId="77777777" w:rsidR="00480979" w:rsidRPr="00F47E41" w:rsidRDefault="00480979" w:rsidP="00480979">
      <w:pPr>
        <w:ind w:left="0" w:right="538"/>
        <w:rPr>
          <w:b/>
          <w:sz w:val="24"/>
          <w:szCs w:val="24"/>
        </w:rPr>
      </w:pPr>
    </w:p>
    <w:p w14:paraId="2B57CA9A" w14:textId="00BD2BBD" w:rsidR="0088036F" w:rsidRPr="00F47E41" w:rsidRDefault="0088036F" w:rsidP="00480979">
      <w:pPr>
        <w:ind w:left="0" w:right="538"/>
        <w:rPr>
          <w:b/>
          <w:sz w:val="24"/>
          <w:szCs w:val="24"/>
        </w:rPr>
      </w:pPr>
      <w:r w:rsidRPr="00F47E41">
        <w:rPr>
          <w:b/>
          <w:sz w:val="24"/>
          <w:szCs w:val="24"/>
        </w:rPr>
        <w:t>Comunicat de presă</w:t>
      </w:r>
    </w:p>
    <w:p w14:paraId="620446CB" w14:textId="526BAE77" w:rsidR="0088036F" w:rsidRPr="00F47E41" w:rsidRDefault="0088036F" w:rsidP="0088036F">
      <w:pPr>
        <w:ind w:left="0" w:right="538"/>
        <w:rPr>
          <w:b/>
          <w:sz w:val="24"/>
          <w:szCs w:val="24"/>
        </w:rPr>
      </w:pPr>
      <w:r w:rsidRPr="00F47E41">
        <w:rPr>
          <w:b/>
          <w:sz w:val="24"/>
          <w:szCs w:val="24"/>
        </w:rPr>
        <w:t>5.</w:t>
      </w:r>
      <w:r w:rsidR="007C6ACA" w:rsidRPr="00F47E41">
        <w:rPr>
          <w:b/>
          <w:sz w:val="24"/>
          <w:szCs w:val="24"/>
        </w:rPr>
        <w:t>3</w:t>
      </w:r>
      <w:r w:rsidR="006F33E7" w:rsidRPr="00F47E41">
        <w:rPr>
          <w:b/>
          <w:sz w:val="24"/>
          <w:szCs w:val="24"/>
        </w:rPr>
        <w:t>5</w:t>
      </w:r>
      <w:r w:rsidRPr="00F47E41">
        <w:rPr>
          <w:b/>
          <w:sz w:val="24"/>
          <w:szCs w:val="24"/>
        </w:rPr>
        <w:t xml:space="preserve"> % rata șomajului înregistrat în județul Harghita în luna </w:t>
      </w:r>
      <w:r w:rsidR="007C6ACA" w:rsidRPr="00F47E41">
        <w:rPr>
          <w:b/>
          <w:sz w:val="24"/>
          <w:szCs w:val="24"/>
        </w:rPr>
        <w:t>mart</w:t>
      </w:r>
      <w:r w:rsidRPr="00F47E41">
        <w:rPr>
          <w:b/>
          <w:sz w:val="24"/>
          <w:szCs w:val="24"/>
        </w:rPr>
        <w:t>ie 202</w:t>
      </w:r>
      <w:r w:rsidR="00B21ACA" w:rsidRPr="00F47E41">
        <w:rPr>
          <w:b/>
          <w:sz w:val="24"/>
          <w:szCs w:val="24"/>
        </w:rPr>
        <w:t>5</w:t>
      </w:r>
    </w:p>
    <w:p w14:paraId="591CB336" w14:textId="77777777" w:rsidR="0088036F" w:rsidRPr="00F47E41" w:rsidRDefault="0088036F" w:rsidP="0088036F">
      <w:pPr>
        <w:ind w:left="0"/>
        <w:rPr>
          <w:sz w:val="24"/>
          <w:szCs w:val="24"/>
          <w:highlight w:val="white"/>
        </w:rPr>
      </w:pPr>
    </w:p>
    <w:p w14:paraId="3D13F3D0" w14:textId="7A3BE41B" w:rsidR="0088036F" w:rsidRPr="00F47E41" w:rsidRDefault="0088036F" w:rsidP="00480979">
      <w:pPr>
        <w:ind w:left="0"/>
        <w:rPr>
          <w:bCs/>
          <w:sz w:val="24"/>
          <w:szCs w:val="24"/>
        </w:rPr>
      </w:pPr>
      <w:r w:rsidRPr="00F47E41">
        <w:rPr>
          <w:bCs/>
          <w:sz w:val="24"/>
          <w:szCs w:val="24"/>
        </w:rPr>
        <w:t xml:space="preserve">La sfârșitul lunii </w:t>
      </w:r>
      <w:r w:rsidR="007C6ACA" w:rsidRPr="00F47E41">
        <w:rPr>
          <w:bCs/>
          <w:sz w:val="24"/>
          <w:szCs w:val="24"/>
        </w:rPr>
        <w:t>mart</w:t>
      </w:r>
      <w:r w:rsidRPr="00F47E41">
        <w:rPr>
          <w:bCs/>
          <w:sz w:val="24"/>
          <w:szCs w:val="24"/>
        </w:rPr>
        <w:t>ie 202</w:t>
      </w:r>
      <w:r w:rsidR="00B21ACA" w:rsidRPr="00F47E41">
        <w:rPr>
          <w:bCs/>
          <w:sz w:val="24"/>
          <w:szCs w:val="24"/>
        </w:rPr>
        <w:t>5</w:t>
      </w:r>
      <w:r w:rsidRPr="00F47E41">
        <w:rPr>
          <w:bCs/>
          <w:sz w:val="24"/>
          <w:szCs w:val="24"/>
        </w:rPr>
        <w:t xml:space="preserve">, rata șomajului înregistrat la nivelul județului Harghita a </w:t>
      </w:r>
      <w:proofErr w:type="spellStart"/>
      <w:r w:rsidRPr="00F47E41">
        <w:rPr>
          <w:bCs/>
          <w:sz w:val="24"/>
          <w:szCs w:val="24"/>
        </w:rPr>
        <w:t>fost</w:t>
      </w:r>
      <w:proofErr w:type="spellEnd"/>
      <w:r w:rsidRPr="00F47E41">
        <w:rPr>
          <w:bCs/>
          <w:sz w:val="24"/>
          <w:szCs w:val="24"/>
        </w:rPr>
        <w:t xml:space="preserve"> de 5,</w:t>
      </w:r>
      <w:r w:rsidR="007C6ACA" w:rsidRPr="00F47E41">
        <w:rPr>
          <w:bCs/>
          <w:sz w:val="24"/>
          <w:szCs w:val="24"/>
        </w:rPr>
        <w:t>3</w:t>
      </w:r>
      <w:r w:rsidR="006F33E7" w:rsidRPr="00F47E41">
        <w:rPr>
          <w:bCs/>
          <w:sz w:val="24"/>
          <w:szCs w:val="24"/>
        </w:rPr>
        <w:t>5</w:t>
      </w:r>
      <w:r w:rsidRPr="00F47E41">
        <w:rPr>
          <w:bCs/>
          <w:sz w:val="24"/>
          <w:szCs w:val="24"/>
        </w:rPr>
        <w:t xml:space="preserve">%, </w:t>
      </w:r>
      <w:proofErr w:type="spellStart"/>
      <w:r w:rsidRPr="00F47E41">
        <w:rPr>
          <w:bCs/>
          <w:sz w:val="24"/>
          <w:szCs w:val="24"/>
        </w:rPr>
        <w:t>mai</w:t>
      </w:r>
      <w:proofErr w:type="spellEnd"/>
      <w:r w:rsidRPr="00F47E41">
        <w:rPr>
          <w:bCs/>
          <w:sz w:val="24"/>
          <w:szCs w:val="24"/>
        </w:rPr>
        <w:t xml:space="preserve"> </w:t>
      </w:r>
      <w:proofErr w:type="spellStart"/>
      <w:r w:rsidRPr="00F47E41">
        <w:rPr>
          <w:bCs/>
          <w:sz w:val="24"/>
          <w:szCs w:val="24"/>
        </w:rPr>
        <w:t>m</w:t>
      </w:r>
      <w:r w:rsidR="006F33E7" w:rsidRPr="00F47E41">
        <w:rPr>
          <w:bCs/>
          <w:sz w:val="24"/>
          <w:szCs w:val="24"/>
        </w:rPr>
        <w:t>ic</w:t>
      </w:r>
      <w:r w:rsidR="004C780E">
        <w:rPr>
          <w:bCs/>
          <w:sz w:val="24"/>
          <w:szCs w:val="24"/>
        </w:rPr>
        <w:t>ă</w:t>
      </w:r>
      <w:proofErr w:type="spellEnd"/>
      <w:r w:rsidRPr="00F47E41">
        <w:rPr>
          <w:bCs/>
          <w:sz w:val="24"/>
          <w:szCs w:val="24"/>
        </w:rPr>
        <w:t xml:space="preserve"> </w:t>
      </w:r>
      <w:proofErr w:type="spellStart"/>
      <w:r w:rsidRPr="00F47E41">
        <w:rPr>
          <w:bCs/>
          <w:sz w:val="24"/>
          <w:szCs w:val="24"/>
        </w:rPr>
        <w:t>decât</w:t>
      </w:r>
      <w:proofErr w:type="spellEnd"/>
      <w:r w:rsidRPr="00F47E41">
        <w:rPr>
          <w:bCs/>
          <w:sz w:val="24"/>
          <w:szCs w:val="24"/>
        </w:rPr>
        <w:t xml:space="preserve"> </w:t>
      </w:r>
      <w:proofErr w:type="spellStart"/>
      <w:r w:rsidRPr="00F47E41">
        <w:rPr>
          <w:bCs/>
          <w:sz w:val="24"/>
          <w:szCs w:val="24"/>
        </w:rPr>
        <w:t>cea</w:t>
      </w:r>
      <w:proofErr w:type="spellEnd"/>
      <w:r w:rsidRPr="00F47E41">
        <w:rPr>
          <w:bCs/>
          <w:sz w:val="24"/>
          <w:szCs w:val="24"/>
        </w:rPr>
        <w:t xml:space="preserve"> din luna anterioară cu 0,</w:t>
      </w:r>
      <w:r w:rsidR="007C6ACA" w:rsidRPr="00F47E41">
        <w:rPr>
          <w:bCs/>
          <w:sz w:val="24"/>
          <w:szCs w:val="24"/>
        </w:rPr>
        <w:t>22</w:t>
      </w:r>
      <w:r w:rsidRPr="00F47E41">
        <w:rPr>
          <w:bCs/>
          <w:sz w:val="24"/>
          <w:szCs w:val="24"/>
        </w:rPr>
        <w:t xml:space="preserve"> pp</w:t>
      </w:r>
      <w:r w:rsidR="00480979" w:rsidRPr="00F47E41">
        <w:rPr>
          <w:bCs/>
          <w:sz w:val="24"/>
          <w:szCs w:val="24"/>
          <w:lang w:val="ro-RO"/>
        </w:rPr>
        <w:t xml:space="preserve"> şi mai mare față de cea din luna martie </w:t>
      </w:r>
      <w:proofErr w:type="gramStart"/>
      <w:r w:rsidR="00480979" w:rsidRPr="00F47E41">
        <w:rPr>
          <w:bCs/>
          <w:sz w:val="24"/>
          <w:szCs w:val="24"/>
          <w:lang w:val="ro-RO"/>
        </w:rPr>
        <w:t>a</w:t>
      </w:r>
      <w:proofErr w:type="gramEnd"/>
      <w:r w:rsidR="00480979" w:rsidRPr="00F47E41">
        <w:rPr>
          <w:bCs/>
          <w:sz w:val="24"/>
          <w:szCs w:val="24"/>
          <w:lang w:val="ro-RO"/>
        </w:rPr>
        <w:t xml:space="preserve"> anului 2024 cu 0,65 pp</w:t>
      </w:r>
      <w:r w:rsidRPr="00F47E41">
        <w:rPr>
          <w:bCs/>
          <w:sz w:val="24"/>
          <w:szCs w:val="24"/>
        </w:rPr>
        <w:t xml:space="preserve">. </w:t>
      </w:r>
    </w:p>
    <w:p w14:paraId="417D3A32" w14:textId="2ABBD6D5" w:rsidR="0088036F" w:rsidRDefault="0088036F" w:rsidP="0088036F">
      <w:pPr>
        <w:ind w:left="0"/>
        <w:rPr>
          <w:bCs/>
          <w:sz w:val="24"/>
          <w:szCs w:val="24"/>
        </w:rPr>
      </w:pPr>
      <w:r w:rsidRPr="00F47E41">
        <w:rPr>
          <w:bCs/>
          <w:sz w:val="24"/>
          <w:szCs w:val="24"/>
        </w:rPr>
        <w:t xml:space="preserve">Numărul total de șomeri la sfârșitul lunii </w:t>
      </w:r>
      <w:r w:rsidR="007C6ACA" w:rsidRPr="00F47E41">
        <w:rPr>
          <w:bCs/>
          <w:sz w:val="24"/>
          <w:szCs w:val="24"/>
        </w:rPr>
        <w:t>mart</w:t>
      </w:r>
      <w:r w:rsidRPr="00F47E41">
        <w:rPr>
          <w:bCs/>
          <w:sz w:val="24"/>
          <w:szCs w:val="24"/>
        </w:rPr>
        <w:t>ie 202</w:t>
      </w:r>
      <w:r w:rsidR="00B21ACA" w:rsidRPr="00F47E41">
        <w:rPr>
          <w:bCs/>
          <w:sz w:val="24"/>
          <w:szCs w:val="24"/>
        </w:rPr>
        <w:t>5</w:t>
      </w:r>
      <w:r w:rsidRPr="00F47E41">
        <w:rPr>
          <w:bCs/>
          <w:sz w:val="24"/>
          <w:szCs w:val="24"/>
        </w:rPr>
        <w:t xml:space="preserve"> a fost de 6</w:t>
      </w:r>
      <w:r w:rsidR="007C6ACA" w:rsidRPr="00F47E41">
        <w:rPr>
          <w:bCs/>
          <w:sz w:val="24"/>
          <w:szCs w:val="24"/>
        </w:rPr>
        <w:t>4</w:t>
      </w:r>
      <w:r w:rsidR="006F33E7" w:rsidRPr="00F47E41">
        <w:rPr>
          <w:bCs/>
          <w:sz w:val="24"/>
          <w:szCs w:val="24"/>
        </w:rPr>
        <w:t>2</w:t>
      </w:r>
      <w:r w:rsidR="007C6ACA" w:rsidRPr="00F47E41">
        <w:rPr>
          <w:bCs/>
          <w:sz w:val="24"/>
          <w:szCs w:val="24"/>
        </w:rPr>
        <w:t>4</w:t>
      </w:r>
      <w:r w:rsidRPr="00F47E41">
        <w:rPr>
          <w:bCs/>
          <w:sz w:val="24"/>
          <w:szCs w:val="24"/>
        </w:rPr>
        <w:t xml:space="preserve"> persoane, mai m</w:t>
      </w:r>
      <w:r w:rsidR="006F33E7" w:rsidRPr="00F47E41">
        <w:rPr>
          <w:bCs/>
          <w:sz w:val="24"/>
          <w:szCs w:val="24"/>
        </w:rPr>
        <w:t>ic</w:t>
      </w:r>
      <w:r w:rsidRPr="00F47E41">
        <w:rPr>
          <w:bCs/>
          <w:sz w:val="24"/>
          <w:szCs w:val="24"/>
        </w:rPr>
        <w:t xml:space="preserve"> cu </w:t>
      </w:r>
      <w:r w:rsidR="007C6ACA" w:rsidRPr="00F47E41">
        <w:rPr>
          <w:bCs/>
          <w:sz w:val="24"/>
          <w:szCs w:val="24"/>
        </w:rPr>
        <w:t>268</w:t>
      </w:r>
      <w:r w:rsidRPr="00F47E41">
        <w:rPr>
          <w:bCs/>
          <w:sz w:val="24"/>
          <w:szCs w:val="24"/>
        </w:rPr>
        <w:t xml:space="preserve"> de persoane față de cel înregistrat la sfârșitul lunii anterioare.</w:t>
      </w:r>
    </w:p>
    <w:p w14:paraId="731621BC" w14:textId="2D674D68" w:rsidR="006D76F4" w:rsidRDefault="006D76F4" w:rsidP="006D76F4">
      <w:pPr>
        <w:ind w:left="0"/>
        <w:rPr>
          <w:bCs/>
          <w:sz w:val="24"/>
          <w:szCs w:val="24"/>
          <w:lang w:val="ro-RO"/>
        </w:rPr>
      </w:pPr>
      <w:r w:rsidRPr="006D76F4">
        <w:rPr>
          <w:bCs/>
          <w:sz w:val="24"/>
          <w:szCs w:val="24"/>
          <w:lang w:val="ro-RO"/>
        </w:rPr>
        <w:t>În graficul următor este prezentată evoluţia numărului şomerilor înregistraţi în perioada 20</w:t>
      </w:r>
      <w:r w:rsidR="00F71F4B">
        <w:rPr>
          <w:bCs/>
          <w:sz w:val="24"/>
          <w:szCs w:val="24"/>
          <w:lang w:val="ro-RO"/>
        </w:rPr>
        <w:t>20</w:t>
      </w:r>
      <w:r w:rsidRPr="006D76F4">
        <w:rPr>
          <w:bCs/>
          <w:sz w:val="24"/>
          <w:szCs w:val="24"/>
          <w:lang w:val="ro-RO"/>
        </w:rPr>
        <w:t xml:space="preserve"> - 2025:</w:t>
      </w:r>
    </w:p>
    <w:p w14:paraId="5E26088D" w14:textId="6F115729" w:rsidR="006D76F4" w:rsidRPr="00F47E41" w:rsidRDefault="00F71F4B" w:rsidP="006D76F4">
      <w:pPr>
        <w:ind w:left="0"/>
        <w:rPr>
          <w:bCs/>
          <w:sz w:val="24"/>
          <w:szCs w:val="24"/>
        </w:rPr>
      </w:pPr>
      <w:r>
        <w:rPr>
          <w:noProof/>
        </w:rPr>
        <w:drawing>
          <wp:inline distT="0" distB="0" distL="0" distR="0" wp14:anchorId="045A86E9" wp14:editId="38ED8F4B">
            <wp:extent cx="5819775" cy="3876675"/>
            <wp:effectExtent l="0" t="0" r="9525" b="9525"/>
            <wp:docPr id="573861043" name="Diagramă 1">
              <a:extLst xmlns:a="http://schemas.openxmlformats.org/drawingml/2006/main">
                <a:ext uri="{FF2B5EF4-FFF2-40B4-BE49-F238E27FC236}">
                  <a16:creationId xmlns:a16="http://schemas.microsoft.com/office/drawing/2014/main" id="{E151ACBB-7F59-12AB-8BE9-C1CAAF5C73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C2E5C83" w14:textId="19EA7DB1" w:rsidR="0088036F" w:rsidRPr="00F47E41" w:rsidRDefault="0088036F" w:rsidP="0088036F">
      <w:pPr>
        <w:ind w:left="0"/>
        <w:rPr>
          <w:bCs/>
          <w:sz w:val="24"/>
          <w:szCs w:val="24"/>
        </w:rPr>
      </w:pPr>
      <w:r w:rsidRPr="00F47E41">
        <w:rPr>
          <w:bCs/>
          <w:sz w:val="24"/>
          <w:szCs w:val="24"/>
        </w:rPr>
        <w:lastRenderedPageBreak/>
        <w:t>Din totalul șomerilor înregistrați</w:t>
      </w:r>
      <w:r w:rsidR="00F1264C" w:rsidRPr="00F47E41">
        <w:rPr>
          <w:bCs/>
          <w:sz w:val="24"/>
          <w:szCs w:val="24"/>
        </w:rPr>
        <w:t xml:space="preserve"> la </w:t>
      </w:r>
      <w:r w:rsidR="007C6ACA" w:rsidRPr="00F47E41">
        <w:rPr>
          <w:bCs/>
          <w:sz w:val="24"/>
          <w:szCs w:val="24"/>
        </w:rPr>
        <w:t>31</w:t>
      </w:r>
      <w:r w:rsidR="00F1264C" w:rsidRPr="00F47E41">
        <w:rPr>
          <w:bCs/>
          <w:sz w:val="24"/>
          <w:szCs w:val="24"/>
        </w:rPr>
        <w:t>.</w:t>
      </w:r>
      <w:r w:rsidR="00B21ACA" w:rsidRPr="00F47E41">
        <w:rPr>
          <w:bCs/>
          <w:sz w:val="24"/>
          <w:szCs w:val="24"/>
        </w:rPr>
        <w:t>0</w:t>
      </w:r>
      <w:r w:rsidR="007C6ACA" w:rsidRPr="00F47E41">
        <w:rPr>
          <w:bCs/>
          <w:sz w:val="24"/>
          <w:szCs w:val="24"/>
        </w:rPr>
        <w:t>3</w:t>
      </w:r>
      <w:r w:rsidR="00F1264C" w:rsidRPr="00F47E41">
        <w:rPr>
          <w:bCs/>
          <w:sz w:val="24"/>
          <w:szCs w:val="24"/>
        </w:rPr>
        <w:t>.202</w:t>
      </w:r>
      <w:r w:rsidR="00B21ACA" w:rsidRPr="00F47E41">
        <w:rPr>
          <w:bCs/>
          <w:sz w:val="24"/>
          <w:szCs w:val="24"/>
        </w:rPr>
        <w:t>5</w:t>
      </w:r>
      <w:r w:rsidR="00F1264C" w:rsidRPr="00F47E41">
        <w:rPr>
          <w:bCs/>
          <w:sz w:val="24"/>
          <w:szCs w:val="24"/>
        </w:rPr>
        <w:t xml:space="preserve"> de 6</w:t>
      </w:r>
      <w:r w:rsidR="007C6ACA" w:rsidRPr="00F47E41">
        <w:rPr>
          <w:bCs/>
          <w:sz w:val="24"/>
          <w:szCs w:val="24"/>
        </w:rPr>
        <w:t>4</w:t>
      </w:r>
      <w:r w:rsidR="006F33E7" w:rsidRPr="00F47E41">
        <w:rPr>
          <w:bCs/>
          <w:sz w:val="24"/>
          <w:szCs w:val="24"/>
        </w:rPr>
        <w:t>2</w:t>
      </w:r>
      <w:r w:rsidR="007C6ACA" w:rsidRPr="00F47E41">
        <w:rPr>
          <w:bCs/>
          <w:sz w:val="24"/>
          <w:szCs w:val="24"/>
        </w:rPr>
        <w:t>4</w:t>
      </w:r>
      <w:r w:rsidR="00F1264C" w:rsidRPr="00F47E41">
        <w:rPr>
          <w:bCs/>
          <w:sz w:val="24"/>
          <w:szCs w:val="24"/>
        </w:rPr>
        <w:t xml:space="preserve"> persoane</w:t>
      </w:r>
      <w:r w:rsidRPr="00F47E41">
        <w:rPr>
          <w:bCs/>
          <w:sz w:val="24"/>
          <w:szCs w:val="24"/>
        </w:rPr>
        <w:t>, 1</w:t>
      </w:r>
      <w:r w:rsidR="006F33E7" w:rsidRPr="00F47E41">
        <w:rPr>
          <w:bCs/>
          <w:sz w:val="24"/>
          <w:szCs w:val="24"/>
        </w:rPr>
        <w:t>5</w:t>
      </w:r>
      <w:r w:rsidR="007C6ACA" w:rsidRPr="00F47E41">
        <w:rPr>
          <w:bCs/>
          <w:sz w:val="24"/>
          <w:szCs w:val="24"/>
        </w:rPr>
        <w:t>23</w:t>
      </w:r>
      <w:r w:rsidRPr="00F47E41">
        <w:rPr>
          <w:bCs/>
          <w:sz w:val="24"/>
          <w:szCs w:val="24"/>
        </w:rPr>
        <w:t xml:space="preserve"> au fost șomeri indemnizați și 4</w:t>
      </w:r>
      <w:r w:rsidR="00B21ACA" w:rsidRPr="00F47E41">
        <w:rPr>
          <w:bCs/>
          <w:sz w:val="24"/>
          <w:szCs w:val="24"/>
        </w:rPr>
        <w:t>9</w:t>
      </w:r>
      <w:r w:rsidR="007C6ACA" w:rsidRPr="00F47E41">
        <w:rPr>
          <w:bCs/>
          <w:sz w:val="24"/>
          <w:szCs w:val="24"/>
        </w:rPr>
        <w:t>01</w:t>
      </w:r>
      <w:r w:rsidRPr="00F47E41">
        <w:rPr>
          <w:bCs/>
          <w:sz w:val="24"/>
          <w:szCs w:val="24"/>
        </w:rPr>
        <w:t xml:space="preserve"> neindemnizați. Numărul șomerilor indemnizați a </w:t>
      </w:r>
      <w:r w:rsidR="006F33E7" w:rsidRPr="00F47E41">
        <w:rPr>
          <w:bCs/>
          <w:sz w:val="24"/>
          <w:szCs w:val="24"/>
          <w:lang w:val="ro-RO"/>
        </w:rPr>
        <w:t>scăzut</w:t>
      </w:r>
      <w:r w:rsidRPr="00F47E41">
        <w:rPr>
          <w:bCs/>
          <w:sz w:val="24"/>
          <w:szCs w:val="24"/>
        </w:rPr>
        <w:t xml:space="preserve"> cu </w:t>
      </w:r>
      <w:r w:rsidR="007C6ACA" w:rsidRPr="00F47E41">
        <w:rPr>
          <w:bCs/>
          <w:sz w:val="24"/>
          <w:szCs w:val="24"/>
        </w:rPr>
        <w:t>234</w:t>
      </w:r>
      <w:r w:rsidRPr="00F47E41">
        <w:rPr>
          <w:bCs/>
          <w:sz w:val="24"/>
          <w:szCs w:val="24"/>
        </w:rPr>
        <w:t xml:space="preserve"> persoane</w:t>
      </w:r>
      <w:r w:rsidR="00F1264C" w:rsidRPr="00F47E41">
        <w:rPr>
          <w:bCs/>
          <w:sz w:val="24"/>
          <w:szCs w:val="24"/>
        </w:rPr>
        <w:t xml:space="preserve"> față de luna </w:t>
      </w:r>
      <w:r w:rsidR="006F33E7" w:rsidRPr="00F47E41">
        <w:rPr>
          <w:bCs/>
          <w:sz w:val="24"/>
          <w:szCs w:val="24"/>
        </w:rPr>
        <w:t>precedentă, datorită</w:t>
      </w:r>
      <w:r w:rsidR="007C6ACA" w:rsidRPr="00F47E41">
        <w:rPr>
          <w:bCs/>
          <w:sz w:val="24"/>
          <w:szCs w:val="24"/>
        </w:rPr>
        <w:t xml:space="preserve"> reangajărilor din industria textilă din zona Odorheiu Secuiesc și a incadrărilor din industria de fabricare mobilă</w:t>
      </w:r>
      <w:r w:rsidRPr="00F47E41">
        <w:rPr>
          <w:bCs/>
          <w:sz w:val="24"/>
          <w:szCs w:val="24"/>
        </w:rPr>
        <w:t>,</w:t>
      </w:r>
      <w:r w:rsidR="007C6ACA" w:rsidRPr="00F47E41">
        <w:rPr>
          <w:bCs/>
          <w:sz w:val="24"/>
          <w:szCs w:val="24"/>
        </w:rPr>
        <w:t xml:space="preserve"> construcții</w:t>
      </w:r>
      <w:r w:rsidRPr="00F47E41">
        <w:rPr>
          <w:bCs/>
          <w:sz w:val="24"/>
          <w:szCs w:val="24"/>
        </w:rPr>
        <w:t xml:space="preserve"> </w:t>
      </w:r>
      <w:r w:rsidR="007C6ACA" w:rsidRPr="00F47E41">
        <w:rPr>
          <w:bCs/>
          <w:sz w:val="24"/>
          <w:szCs w:val="24"/>
        </w:rPr>
        <w:t xml:space="preserve">și comerț, </w:t>
      </w:r>
      <w:r w:rsidRPr="00F47E41">
        <w:rPr>
          <w:bCs/>
          <w:sz w:val="24"/>
          <w:szCs w:val="24"/>
        </w:rPr>
        <w:t xml:space="preserve">iar numărul șomerilor neindemnizați a </w:t>
      </w:r>
      <w:r w:rsidR="007C6ACA" w:rsidRPr="00F47E41">
        <w:rPr>
          <w:bCs/>
          <w:sz w:val="24"/>
          <w:szCs w:val="24"/>
        </w:rPr>
        <w:t>scăz</w:t>
      </w:r>
      <w:r w:rsidRPr="00F47E41">
        <w:rPr>
          <w:bCs/>
          <w:sz w:val="24"/>
          <w:szCs w:val="24"/>
        </w:rPr>
        <w:t xml:space="preserve">ut cu </w:t>
      </w:r>
      <w:r w:rsidR="007C6ACA" w:rsidRPr="00F47E41">
        <w:rPr>
          <w:bCs/>
          <w:sz w:val="24"/>
          <w:szCs w:val="24"/>
        </w:rPr>
        <w:t>3</w:t>
      </w:r>
      <w:r w:rsidR="00B21ACA" w:rsidRPr="00F47E41">
        <w:rPr>
          <w:bCs/>
          <w:sz w:val="24"/>
          <w:szCs w:val="24"/>
        </w:rPr>
        <w:t>4</w:t>
      </w:r>
      <w:r w:rsidRPr="00F47E41">
        <w:rPr>
          <w:bCs/>
          <w:sz w:val="24"/>
          <w:szCs w:val="24"/>
        </w:rPr>
        <w:t xml:space="preserve"> persoane față de luna precedentă.</w:t>
      </w:r>
    </w:p>
    <w:p w14:paraId="19A01151" w14:textId="5F804665" w:rsidR="0088036F" w:rsidRPr="00F47E41" w:rsidRDefault="0088036F" w:rsidP="0088036F">
      <w:pPr>
        <w:ind w:left="0"/>
        <w:rPr>
          <w:bCs/>
          <w:sz w:val="24"/>
          <w:szCs w:val="24"/>
        </w:rPr>
      </w:pPr>
      <w:r w:rsidRPr="00F47E41">
        <w:rPr>
          <w:bCs/>
          <w:sz w:val="24"/>
          <w:szCs w:val="24"/>
        </w:rPr>
        <w:t>Ponderea șomerilor neindemnizați în numărul total al șomerilor (7</w:t>
      </w:r>
      <w:r w:rsidR="00654FBB" w:rsidRPr="00F47E41">
        <w:rPr>
          <w:bCs/>
          <w:sz w:val="24"/>
          <w:szCs w:val="24"/>
        </w:rPr>
        <w:t>6</w:t>
      </w:r>
      <w:r w:rsidRPr="00F47E41">
        <w:rPr>
          <w:bCs/>
          <w:sz w:val="24"/>
          <w:szCs w:val="24"/>
        </w:rPr>
        <w:t>,</w:t>
      </w:r>
      <w:r w:rsidR="00654FBB" w:rsidRPr="00F47E41">
        <w:rPr>
          <w:bCs/>
          <w:sz w:val="24"/>
          <w:szCs w:val="24"/>
        </w:rPr>
        <w:t>2</w:t>
      </w:r>
      <w:r w:rsidR="00F1264C" w:rsidRPr="00F47E41">
        <w:rPr>
          <w:bCs/>
          <w:sz w:val="24"/>
          <w:szCs w:val="24"/>
        </w:rPr>
        <w:t>7</w:t>
      </w:r>
      <w:r w:rsidRPr="00F47E41">
        <w:rPr>
          <w:bCs/>
          <w:sz w:val="24"/>
          <w:szCs w:val="24"/>
        </w:rPr>
        <w:t xml:space="preserve">%) a </w:t>
      </w:r>
      <w:r w:rsidR="000A2E12" w:rsidRPr="00F47E41">
        <w:rPr>
          <w:bCs/>
          <w:sz w:val="24"/>
          <w:szCs w:val="24"/>
        </w:rPr>
        <w:t>crescut</w:t>
      </w:r>
      <w:r w:rsidRPr="00F47E41">
        <w:rPr>
          <w:bCs/>
          <w:sz w:val="24"/>
          <w:szCs w:val="24"/>
        </w:rPr>
        <w:t xml:space="preserve"> față de luna precedentă cu </w:t>
      </w:r>
      <w:r w:rsidR="00654FBB" w:rsidRPr="00F47E41">
        <w:rPr>
          <w:bCs/>
          <w:sz w:val="24"/>
          <w:szCs w:val="24"/>
        </w:rPr>
        <w:t>2</w:t>
      </w:r>
      <w:r w:rsidRPr="00F47E41">
        <w:rPr>
          <w:bCs/>
          <w:sz w:val="24"/>
          <w:szCs w:val="24"/>
        </w:rPr>
        <w:t>.</w:t>
      </w:r>
      <w:r w:rsidR="00654FBB" w:rsidRPr="00F47E41">
        <w:rPr>
          <w:bCs/>
          <w:sz w:val="24"/>
          <w:szCs w:val="24"/>
        </w:rPr>
        <w:t>53</w:t>
      </w:r>
      <w:r w:rsidRPr="00F47E41">
        <w:rPr>
          <w:bCs/>
          <w:sz w:val="24"/>
          <w:szCs w:val="24"/>
        </w:rPr>
        <w:t xml:space="preserve"> pp.</w:t>
      </w:r>
    </w:p>
    <w:p w14:paraId="315260B3" w14:textId="77777777" w:rsidR="009B243B" w:rsidRPr="00F47E41" w:rsidRDefault="009B243B" w:rsidP="009B243B">
      <w:pPr>
        <w:ind w:left="0"/>
        <w:rPr>
          <w:bCs/>
          <w:sz w:val="24"/>
          <w:szCs w:val="24"/>
        </w:rPr>
      </w:pPr>
      <w:r w:rsidRPr="00F47E41">
        <w:rPr>
          <w:bCs/>
          <w:sz w:val="24"/>
          <w:szCs w:val="24"/>
          <w:lang w:val="ro-RO"/>
        </w:rPr>
        <w:t>Numărul şomerilor femei la 31 martie 2025 era de 3.014 de persoane, în timp ce numărul şomerilor bărbaţi era de 3.410 de persoane.</w:t>
      </w:r>
    </w:p>
    <w:p w14:paraId="60ED43AC" w14:textId="01C7A05C" w:rsidR="003A6DA1" w:rsidRDefault="003A6DA1" w:rsidP="003A6DA1">
      <w:pPr>
        <w:ind w:left="0"/>
        <w:rPr>
          <w:bCs/>
          <w:sz w:val="24"/>
          <w:szCs w:val="24"/>
          <w:lang w:val="ro-RO"/>
        </w:rPr>
      </w:pPr>
      <w:r w:rsidRPr="00F47E41">
        <w:rPr>
          <w:bCs/>
          <w:sz w:val="24"/>
          <w:szCs w:val="24"/>
          <w:lang w:val="ro-RO"/>
        </w:rPr>
        <w:t>Referitor la şomajul înregistrat pe sexe, în luna martie 2025, rata şomajului masculin a scazut cu 0,18 pp (de la 5,1</w:t>
      </w:r>
      <w:r w:rsidR="00BE66DE" w:rsidRPr="00F47E41">
        <w:rPr>
          <w:bCs/>
          <w:sz w:val="24"/>
          <w:szCs w:val="24"/>
          <w:lang w:val="ro-RO"/>
        </w:rPr>
        <w:t>0</w:t>
      </w:r>
      <w:r w:rsidRPr="00F47E41">
        <w:rPr>
          <w:bCs/>
          <w:sz w:val="24"/>
          <w:szCs w:val="24"/>
          <w:lang w:val="ro-RO"/>
        </w:rPr>
        <w:t xml:space="preserve">% în luna </w:t>
      </w:r>
      <w:r w:rsidR="00BE66DE" w:rsidRPr="00F47E41">
        <w:rPr>
          <w:bCs/>
          <w:sz w:val="24"/>
          <w:szCs w:val="24"/>
          <w:lang w:val="ro-RO"/>
        </w:rPr>
        <w:t>febr</w:t>
      </w:r>
      <w:r w:rsidRPr="00F47E41">
        <w:rPr>
          <w:bCs/>
          <w:sz w:val="24"/>
          <w:szCs w:val="24"/>
          <w:lang w:val="ro-RO"/>
        </w:rPr>
        <w:t xml:space="preserve">uarie la </w:t>
      </w:r>
      <w:r w:rsidR="00BE66DE" w:rsidRPr="00F47E41">
        <w:rPr>
          <w:bCs/>
          <w:sz w:val="24"/>
          <w:szCs w:val="24"/>
          <w:lang w:val="ro-RO"/>
        </w:rPr>
        <w:t>4</w:t>
      </w:r>
      <w:r w:rsidRPr="00F47E41">
        <w:rPr>
          <w:bCs/>
          <w:sz w:val="24"/>
          <w:szCs w:val="24"/>
          <w:lang w:val="ro-RO"/>
        </w:rPr>
        <w:t>,</w:t>
      </w:r>
      <w:r w:rsidR="00BE66DE" w:rsidRPr="00F47E41">
        <w:rPr>
          <w:bCs/>
          <w:sz w:val="24"/>
          <w:szCs w:val="24"/>
          <w:lang w:val="ro-RO"/>
        </w:rPr>
        <w:t>92</w:t>
      </w:r>
      <w:r w:rsidRPr="00F47E41">
        <w:rPr>
          <w:bCs/>
          <w:sz w:val="24"/>
          <w:szCs w:val="24"/>
          <w:lang w:val="ro-RO"/>
        </w:rPr>
        <w:t xml:space="preserve">% în luna </w:t>
      </w:r>
      <w:r w:rsidR="00BE66DE" w:rsidRPr="00F47E41">
        <w:rPr>
          <w:bCs/>
          <w:sz w:val="24"/>
          <w:szCs w:val="24"/>
          <w:lang w:val="ro-RO"/>
        </w:rPr>
        <w:t>mart</w:t>
      </w:r>
      <w:r w:rsidRPr="00F47E41">
        <w:rPr>
          <w:bCs/>
          <w:sz w:val="24"/>
          <w:szCs w:val="24"/>
          <w:lang w:val="ro-RO"/>
        </w:rPr>
        <w:t>ie), iar rata şomajului feminin a scăzut cu 0,2</w:t>
      </w:r>
      <w:r w:rsidR="00BE66DE" w:rsidRPr="00F47E41">
        <w:rPr>
          <w:bCs/>
          <w:sz w:val="24"/>
          <w:szCs w:val="24"/>
          <w:lang w:val="ro-RO"/>
        </w:rPr>
        <w:t>9</w:t>
      </w:r>
      <w:r w:rsidRPr="00F47E41">
        <w:rPr>
          <w:bCs/>
          <w:sz w:val="24"/>
          <w:szCs w:val="24"/>
          <w:lang w:val="ro-RO"/>
        </w:rPr>
        <w:t xml:space="preserve"> pp, de la </w:t>
      </w:r>
      <w:r w:rsidR="00BE66DE" w:rsidRPr="00F47E41">
        <w:rPr>
          <w:bCs/>
          <w:sz w:val="24"/>
          <w:szCs w:val="24"/>
          <w:lang w:val="ro-RO"/>
        </w:rPr>
        <w:t>6</w:t>
      </w:r>
      <w:r w:rsidRPr="00F47E41">
        <w:rPr>
          <w:bCs/>
          <w:sz w:val="24"/>
          <w:szCs w:val="24"/>
          <w:lang w:val="ro-RO"/>
        </w:rPr>
        <w:t>,</w:t>
      </w:r>
      <w:r w:rsidR="00BE66DE" w:rsidRPr="00F47E41">
        <w:rPr>
          <w:bCs/>
          <w:sz w:val="24"/>
          <w:szCs w:val="24"/>
          <w:lang w:val="ro-RO"/>
        </w:rPr>
        <w:t>22</w:t>
      </w:r>
      <w:r w:rsidRPr="00F47E41">
        <w:rPr>
          <w:bCs/>
          <w:sz w:val="24"/>
          <w:szCs w:val="24"/>
          <w:lang w:val="ro-RO"/>
        </w:rPr>
        <w:t xml:space="preserve">% în luna </w:t>
      </w:r>
      <w:r w:rsidR="00BE66DE" w:rsidRPr="00F47E41">
        <w:rPr>
          <w:bCs/>
          <w:sz w:val="24"/>
          <w:szCs w:val="24"/>
          <w:lang w:val="ro-RO"/>
        </w:rPr>
        <w:t>februarie</w:t>
      </w:r>
      <w:r w:rsidRPr="00F47E41">
        <w:rPr>
          <w:bCs/>
          <w:sz w:val="24"/>
          <w:szCs w:val="24"/>
          <w:lang w:val="ro-RO"/>
        </w:rPr>
        <w:t xml:space="preserve"> la </w:t>
      </w:r>
      <w:r w:rsidR="00BE66DE" w:rsidRPr="00F47E41">
        <w:rPr>
          <w:bCs/>
          <w:sz w:val="24"/>
          <w:szCs w:val="24"/>
          <w:lang w:val="ro-RO"/>
        </w:rPr>
        <w:t>5</w:t>
      </w:r>
      <w:r w:rsidRPr="00F47E41">
        <w:rPr>
          <w:bCs/>
          <w:sz w:val="24"/>
          <w:szCs w:val="24"/>
          <w:lang w:val="ro-RO"/>
        </w:rPr>
        <w:t>,</w:t>
      </w:r>
      <w:r w:rsidR="00BE66DE" w:rsidRPr="00F47E41">
        <w:rPr>
          <w:bCs/>
          <w:sz w:val="24"/>
          <w:szCs w:val="24"/>
          <w:lang w:val="ro-RO"/>
        </w:rPr>
        <w:t>93</w:t>
      </w:r>
      <w:r w:rsidRPr="00F47E41">
        <w:rPr>
          <w:bCs/>
          <w:sz w:val="24"/>
          <w:szCs w:val="24"/>
          <w:lang w:val="ro-RO"/>
        </w:rPr>
        <w:t>% în luna</w:t>
      </w:r>
      <w:r w:rsidR="00BE66DE" w:rsidRPr="00F47E41">
        <w:rPr>
          <w:bCs/>
          <w:sz w:val="24"/>
          <w:szCs w:val="24"/>
          <w:lang w:val="ro-RO"/>
        </w:rPr>
        <w:t xml:space="preserve"> martie</w:t>
      </w:r>
      <w:r w:rsidRPr="00F47E41">
        <w:rPr>
          <w:bCs/>
          <w:sz w:val="24"/>
          <w:szCs w:val="24"/>
          <w:lang w:val="ro-RO"/>
        </w:rPr>
        <w:t>.</w:t>
      </w:r>
    </w:p>
    <w:p w14:paraId="063717A0" w14:textId="5DE702DF" w:rsidR="009B243B" w:rsidRDefault="009B243B" w:rsidP="003A6DA1">
      <w:pPr>
        <w:ind w:left="0"/>
        <w:rPr>
          <w:bCs/>
          <w:sz w:val="24"/>
          <w:szCs w:val="24"/>
          <w:lang w:val="ro-RO"/>
        </w:rPr>
      </w:pPr>
      <w:r w:rsidRPr="009B243B">
        <w:rPr>
          <w:bCs/>
          <w:sz w:val="24"/>
          <w:szCs w:val="24"/>
          <w:lang w:val="ro-RO"/>
        </w:rPr>
        <w:t>Evoluţia ratei şomajului înregistrat, în perioada 20</w:t>
      </w:r>
      <w:r>
        <w:rPr>
          <w:bCs/>
          <w:sz w:val="24"/>
          <w:szCs w:val="24"/>
          <w:lang w:val="ro-RO"/>
        </w:rPr>
        <w:t>15</w:t>
      </w:r>
      <w:r w:rsidRPr="009B243B">
        <w:rPr>
          <w:bCs/>
          <w:sz w:val="24"/>
          <w:szCs w:val="24"/>
          <w:lang w:val="ro-RO"/>
        </w:rPr>
        <w:t xml:space="preserve"> - 2025 este prezentată sugestiv în graficul de mai jos:</w:t>
      </w:r>
    </w:p>
    <w:p w14:paraId="4A0E9574" w14:textId="7D919FD7" w:rsidR="009B243B" w:rsidRPr="00F47E41" w:rsidRDefault="00D849EA" w:rsidP="003A6DA1">
      <w:pPr>
        <w:ind w:left="0"/>
        <w:rPr>
          <w:bCs/>
          <w:sz w:val="24"/>
          <w:szCs w:val="24"/>
          <w:lang w:val="ro-RO"/>
        </w:rPr>
      </w:pPr>
      <w:r>
        <w:rPr>
          <w:noProof/>
        </w:rPr>
        <w:drawing>
          <wp:inline distT="0" distB="0" distL="0" distR="0" wp14:anchorId="56AE0679" wp14:editId="37283B02">
            <wp:extent cx="5657850" cy="3009900"/>
            <wp:effectExtent l="0" t="0" r="0" b="0"/>
            <wp:docPr id="1200328866" name="Diagramă 1">
              <a:extLst xmlns:a="http://schemas.openxmlformats.org/drawingml/2006/main">
                <a:ext uri="{FF2B5EF4-FFF2-40B4-BE49-F238E27FC236}">
                  <a16:creationId xmlns:a16="http://schemas.microsoft.com/office/drawing/2014/main" id="{427F0D2C-D4DA-7C9E-2626-673D355019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CC5107E" w14:textId="2A4DF807" w:rsidR="0088036F" w:rsidRPr="00F47E41" w:rsidRDefault="0088036F" w:rsidP="0088036F">
      <w:pPr>
        <w:ind w:left="0"/>
        <w:rPr>
          <w:bCs/>
          <w:sz w:val="24"/>
          <w:szCs w:val="24"/>
        </w:rPr>
      </w:pPr>
      <w:r w:rsidRPr="00F47E41">
        <w:rPr>
          <w:sz w:val="24"/>
          <w:szCs w:val="24"/>
        </w:rPr>
        <w:t xml:space="preserve">Pe medii de rezidență, numărul șomerilor la sfârșitul lunii </w:t>
      </w:r>
      <w:r w:rsidR="00187A3F" w:rsidRPr="00F47E41">
        <w:rPr>
          <w:sz w:val="24"/>
          <w:szCs w:val="24"/>
        </w:rPr>
        <w:t>mart</w:t>
      </w:r>
      <w:r w:rsidRPr="00F47E41">
        <w:rPr>
          <w:sz w:val="24"/>
          <w:szCs w:val="24"/>
        </w:rPr>
        <w:t xml:space="preserve">ie </w:t>
      </w:r>
      <w:r w:rsidR="00360BF2" w:rsidRPr="00F47E41">
        <w:rPr>
          <w:sz w:val="24"/>
          <w:szCs w:val="24"/>
        </w:rPr>
        <w:t xml:space="preserve">2025 </w:t>
      </w:r>
      <w:r w:rsidRPr="00F47E41">
        <w:rPr>
          <w:sz w:val="24"/>
          <w:szCs w:val="24"/>
        </w:rPr>
        <w:t>se prezintă astfel: 1.</w:t>
      </w:r>
      <w:r w:rsidR="00187A3F" w:rsidRPr="00F47E41">
        <w:rPr>
          <w:sz w:val="24"/>
          <w:szCs w:val="24"/>
        </w:rPr>
        <w:t>810</w:t>
      </w:r>
      <w:r w:rsidRPr="00F47E41">
        <w:rPr>
          <w:sz w:val="24"/>
          <w:szCs w:val="24"/>
        </w:rPr>
        <w:t xml:space="preserve"> șomeri provin din mediul urban și 4.</w:t>
      </w:r>
      <w:r w:rsidR="00547CF1" w:rsidRPr="00F47E41">
        <w:rPr>
          <w:sz w:val="24"/>
          <w:szCs w:val="24"/>
        </w:rPr>
        <w:t>6</w:t>
      </w:r>
      <w:r w:rsidR="00187A3F" w:rsidRPr="00F47E41">
        <w:rPr>
          <w:sz w:val="24"/>
          <w:szCs w:val="24"/>
        </w:rPr>
        <w:t>14</w:t>
      </w:r>
      <w:r w:rsidRPr="00F47E41">
        <w:rPr>
          <w:sz w:val="24"/>
          <w:szCs w:val="24"/>
        </w:rPr>
        <w:t xml:space="preserve"> șomeri provin din mediul rural.</w:t>
      </w:r>
    </w:p>
    <w:p w14:paraId="1F1670DE" w14:textId="25D2515C" w:rsidR="0088036F" w:rsidRPr="00F47E41" w:rsidRDefault="0088036F" w:rsidP="0088036F">
      <w:pPr>
        <w:ind w:left="0"/>
        <w:rPr>
          <w:bCs/>
          <w:sz w:val="24"/>
          <w:szCs w:val="24"/>
        </w:rPr>
      </w:pPr>
      <w:r w:rsidRPr="00F47E41">
        <w:rPr>
          <w:bCs/>
          <w:sz w:val="24"/>
          <w:szCs w:val="24"/>
        </w:rPr>
        <w:t xml:space="preserve">Cei mai mulți șomeri </w:t>
      </w:r>
      <w:r w:rsidR="00920E02" w:rsidRPr="00F47E41">
        <w:rPr>
          <w:bCs/>
          <w:sz w:val="24"/>
          <w:szCs w:val="24"/>
        </w:rPr>
        <w:t xml:space="preserve">la sfârșitul lunii </w:t>
      </w:r>
      <w:r w:rsidR="00187A3F" w:rsidRPr="00F47E41">
        <w:rPr>
          <w:bCs/>
          <w:sz w:val="24"/>
          <w:szCs w:val="24"/>
        </w:rPr>
        <w:t>mart</w:t>
      </w:r>
      <w:r w:rsidR="00920E02" w:rsidRPr="00F47E41">
        <w:rPr>
          <w:bCs/>
          <w:sz w:val="24"/>
          <w:szCs w:val="24"/>
        </w:rPr>
        <w:t>ie 202</w:t>
      </w:r>
      <w:r w:rsidR="00360BF2" w:rsidRPr="00F47E41">
        <w:rPr>
          <w:bCs/>
          <w:sz w:val="24"/>
          <w:szCs w:val="24"/>
        </w:rPr>
        <w:t>5</w:t>
      </w:r>
      <w:r w:rsidR="00920E02" w:rsidRPr="00F47E41">
        <w:rPr>
          <w:bCs/>
          <w:sz w:val="24"/>
          <w:szCs w:val="24"/>
        </w:rPr>
        <w:t xml:space="preserve">, </w:t>
      </w:r>
      <w:r w:rsidRPr="00F47E41">
        <w:rPr>
          <w:bCs/>
          <w:sz w:val="24"/>
          <w:szCs w:val="24"/>
        </w:rPr>
        <w:t>aveau vârsta cuprinsă între 40-49 ani (1</w:t>
      </w:r>
      <w:r w:rsidR="00920E02" w:rsidRPr="00F47E41">
        <w:rPr>
          <w:bCs/>
          <w:sz w:val="24"/>
          <w:szCs w:val="24"/>
        </w:rPr>
        <w:t>5</w:t>
      </w:r>
      <w:r w:rsidR="00187A3F" w:rsidRPr="00F47E41">
        <w:rPr>
          <w:bCs/>
          <w:sz w:val="24"/>
          <w:szCs w:val="24"/>
        </w:rPr>
        <w:t>45</w:t>
      </w:r>
      <w:r w:rsidRPr="00F47E41">
        <w:rPr>
          <w:bCs/>
          <w:sz w:val="24"/>
          <w:szCs w:val="24"/>
        </w:rPr>
        <w:t>), urmați de cei cu vârsta între 30-39 ani (13</w:t>
      </w:r>
      <w:r w:rsidR="00187A3F" w:rsidRPr="00F47E41">
        <w:rPr>
          <w:bCs/>
          <w:sz w:val="24"/>
          <w:szCs w:val="24"/>
        </w:rPr>
        <w:t>31</w:t>
      </w:r>
      <w:r w:rsidRPr="00F47E41">
        <w:rPr>
          <w:bCs/>
          <w:sz w:val="24"/>
          <w:szCs w:val="24"/>
        </w:rPr>
        <w:t xml:space="preserve">), cei </w:t>
      </w:r>
      <w:r w:rsidR="00BB5840" w:rsidRPr="00F47E41">
        <w:rPr>
          <w:bCs/>
          <w:sz w:val="24"/>
          <w:szCs w:val="24"/>
        </w:rPr>
        <w:t xml:space="preserve">cu vârsta </w:t>
      </w:r>
      <w:r w:rsidR="00187A3F" w:rsidRPr="00F47E41">
        <w:rPr>
          <w:bCs/>
          <w:sz w:val="24"/>
          <w:szCs w:val="24"/>
        </w:rPr>
        <w:t>peste 55 ani (1052)</w:t>
      </w:r>
      <w:r w:rsidR="00BB5840" w:rsidRPr="00F47E41">
        <w:rPr>
          <w:bCs/>
          <w:sz w:val="24"/>
          <w:szCs w:val="24"/>
        </w:rPr>
        <w:t>, apoi urmați de cei cu vârsta</w:t>
      </w:r>
      <w:r w:rsidR="00187A3F" w:rsidRPr="00F47E41">
        <w:rPr>
          <w:bCs/>
          <w:sz w:val="24"/>
          <w:szCs w:val="24"/>
        </w:rPr>
        <w:t xml:space="preserve"> între 50-55 ani (1028)</w:t>
      </w:r>
      <w:r w:rsidR="00BB5840" w:rsidRPr="00F47E41">
        <w:rPr>
          <w:bCs/>
          <w:sz w:val="24"/>
          <w:szCs w:val="24"/>
        </w:rPr>
        <w:t xml:space="preserve">, urmați de cei </w:t>
      </w:r>
      <w:r w:rsidRPr="00F47E41">
        <w:rPr>
          <w:bCs/>
          <w:sz w:val="24"/>
          <w:szCs w:val="24"/>
        </w:rPr>
        <w:t>cu vârsta de sub 25 ani (</w:t>
      </w:r>
      <w:r w:rsidR="00BB5840" w:rsidRPr="00F47E41">
        <w:rPr>
          <w:bCs/>
          <w:sz w:val="24"/>
          <w:szCs w:val="24"/>
        </w:rPr>
        <w:t>9</w:t>
      </w:r>
      <w:r w:rsidR="00187A3F" w:rsidRPr="00F47E41">
        <w:rPr>
          <w:bCs/>
          <w:sz w:val="24"/>
          <w:szCs w:val="24"/>
        </w:rPr>
        <w:t>79</w:t>
      </w:r>
      <w:r w:rsidRPr="00F47E41">
        <w:rPr>
          <w:bCs/>
          <w:sz w:val="24"/>
          <w:szCs w:val="24"/>
        </w:rPr>
        <w:t>), cei mai puțini șomeri fiind persoanele cu vârsta cuprinsă între 25-29 ani (</w:t>
      </w:r>
      <w:r w:rsidR="00187A3F" w:rsidRPr="00F47E41">
        <w:rPr>
          <w:bCs/>
          <w:sz w:val="24"/>
          <w:szCs w:val="24"/>
        </w:rPr>
        <w:t>4</w:t>
      </w:r>
      <w:r w:rsidR="00BB5840" w:rsidRPr="00F47E41">
        <w:rPr>
          <w:bCs/>
          <w:sz w:val="24"/>
          <w:szCs w:val="24"/>
        </w:rPr>
        <w:t>8</w:t>
      </w:r>
      <w:r w:rsidR="00187A3F" w:rsidRPr="00F47E41">
        <w:rPr>
          <w:bCs/>
          <w:sz w:val="24"/>
          <w:szCs w:val="24"/>
        </w:rPr>
        <w:t>9</w:t>
      </w:r>
      <w:r w:rsidRPr="00F47E41">
        <w:rPr>
          <w:bCs/>
          <w:sz w:val="24"/>
          <w:szCs w:val="24"/>
        </w:rPr>
        <w:t>).</w:t>
      </w:r>
    </w:p>
    <w:p w14:paraId="3AF4A5E1" w14:textId="242929F9" w:rsidR="0088036F" w:rsidRPr="00F47E41" w:rsidRDefault="0088036F" w:rsidP="0088036F">
      <w:pPr>
        <w:ind w:left="0"/>
        <w:rPr>
          <w:bCs/>
          <w:sz w:val="24"/>
          <w:szCs w:val="24"/>
        </w:rPr>
      </w:pPr>
      <w:r w:rsidRPr="00F47E41">
        <w:rPr>
          <w:bCs/>
          <w:sz w:val="24"/>
          <w:szCs w:val="24"/>
        </w:rPr>
        <w:lastRenderedPageBreak/>
        <w:t xml:space="preserve">Structura șomajului pe grupe de vârstă la finele lunii se prezintă sugestiv astfel: </w:t>
      </w:r>
    </w:p>
    <w:tbl>
      <w:tblPr>
        <w:tblStyle w:val="TableGrid"/>
        <w:tblpPr w:leftFromText="180" w:rightFromText="180" w:vertAnchor="text" w:tblpX="-266" w:tblpY="1"/>
        <w:tblOverlap w:val="never"/>
        <w:tblW w:w="0" w:type="auto"/>
        <w:tblLook w:val="04A0" w:firstRow="1" w:lastRow="0" w:firstColumn="1" w:lastColumn="0" w:noHBand="0" w:noVBand="1"/>
      </w:tblPr>
      <w:tblGrid>
        <w:gridCol w:w="2405"/>
        <w:gridCol w:w="3076"/>
      </w:tblGrid>
      <w:tr w:rsidR="0088036F" w:rsidRPr="00F47E41" w14:paraId="4FBC1E24" w14:textId="77777777" w:rsidTr="00F47E41">
        <w:tc>
          <w:tcPr>
            <w:tcW w:w="2405" w:type="dxa"/>
          </w:tcPr>
          <w:p w14:paraId="568C692D" w14:textId="77777777" w:rsidR="0088036F" w:rsidRPr="00F47E41" w:rsidRDefault="0088036F" w:rsidP="00F47E41">
            <w:pPr>
              <w:ind w:left="0"/>
              <w:rPr>
                <w:bCs/>
                <w:sz w:val="24"/>
                <w:szCs w:val="24"/>
              </w:rPr>
            </w:pPr>
            <w:r w:rsidRPr="00F47E41">
              <w:rPr>
                <w:bCs/>
                <w:sz w:val="24"/>
                <w:szCs w:val="24"/>
              </w:rPr>
              <w:t>Grupa de vârstă</w:t>
            </w:r>
          </w:p>
        </w:tc>
        <w:tc>
          <w:tcPr>
            <w:tcW w:w="3076" w:type="dxa"/>
          </w:tcPr>
          <w:p w14:paraId="63ABC547" w14:textId="77777777" w:rsidR="0088036F" w:rsidRPr="00F47E41" w:rsidRDefault="0088036F" w:rsidP="00F47E41">
            <w:pPr>
              <w:ind w:left="0"/>
              <w:rPr>
                <w:bCs/>
                <w:sz w:val="24"/>
                <w:szCs w:val="24"/>
              </w:rPr>
            </w:pPr>
            <w:r w:rsidRPr="00F47E41">
              <w:rPr>
                <w:bCs/>
                <w:sz w:val="24"/>
                <w:szCs w:val="24"/>
              </w:rPr>
              <w:t>Stoc la finele lunii de raportare</w:t>
            </w:r>
          </w:p>
        </w:tc>
      </w:tr>
      <w:tr w:rsidR="004F3710" w:rsidRPr="00F47E41" w14:paraId="2282EEBD" w14:textId="77777777" w:rsidTr="00F47E41">
        <w:tc>
          <w:tcPr>
            <w:tcW w:w="2405" w:type="dxa"/>
          </w:tcPr>
          <w:p w14:paraId="7EDD33C0" w14:textId="77777777" w:rsidR="004F3710" w:rsidRPr="00F47E41" w:rsidRDefault="004F3710" w:rsidP="00F47E41">
            <w:pPr>
              <w:ind w:left="0"/>
              <w:rPr>
                <w:bCs/>
                <w:sz w:val="24"/>
                <w:szCs w:val="24"/>
              </w:rPr>
            </w:pPr>
            <w:r w:rsidRPr="00F47E41">
              <w:rPr>
                <w:bCs/>
                <w:sz w:val="24"/>
                <w:szCs w:val="24"/>
              </w:rPr>
              <w:t>Total, din care:</w:t>
            </w:r>
          </w:p>
        </w:tc>
        <w:tc>
          <w:tcPr>
            <w:tcW w:w="3076" w:type="dxa"/>
            <w:vAlign w:val="center"/>
          </w:tcPr>
          <w:p w14:paraId="07174371" w14:textId="0134229B" w:rsidR="004F3710" w:rsidRPr="00F47E41" w:rsidRDefault="004F3710" w:rsidP="00F47E41">
            <w:pPr>
              <w:ind w:left="0"/>
              <w:rPr>
                <w:bCs/>
                <w:sz w:val="24"/>
                <w:szCs w:val="24"/>
              </w:rPr>
            </w:pPr>
            <w:r w:rsidRPr="00F47E41">
              <w:rPr>
                <w:rFonts w:cs="Calibri"/>
                <w:color w:val="000000"/>
                <w:sz w:val="24"/>
                <w:szCs w:val="24"/>
              </w:rPr>
              <w:t>6424</w:t>
            </w:r>
          </w:p>
        </w:tc>
      </w:tr>
      <w:tr w:rsidR="004F3710" w:rsidRPr="00F47E41" w14:paraId="79057609" w14:textId="77777777" w:rsidTr="00F47E41">
        <w:tc>
          <w:tcPr>
            <w:tcW w:w="2405" w:type="dxa"/>
          </w:tcPr>
          <w:p w14:paraId="140D9457" w14:textId="77777777" w:rsidR="004F3710" w:rsidRPr="00F47E41" w:rsidRDefault="004F3710" w:rsidP="00F47E41">
            <w:pPr>
              <w:ind w:left="0"/>
              <w:rPr>
                <w:bCs/>
                <w:sz w:val="24"/>
                <w:szCs w:val="24"/>
              </w:rPr>
            </w:pPr>
            <w:r w:rsidRPr="00F47E41">
              <w:rPr>
                <w:bCs/>
                <w:sz w:val="24"/>
                <w:szCs w:val="24"/>
              </w:rPr>
              <w:t>sub 25 de ani</w:t>
            </w:r>
          </w:p>
        </w:tc>
        <w:tc>
          <w:tcPr>
            <w:tcW w:w="3076" w:type="dxa"/>
            <w:vAlign w:val="center"/>
          </w:tcPr>
          <w:p w14:paraId="6800929D" w14:textId="1701D7A1" w:rsidR="004F3710" w:rsidRPr="00F47E41" w:rsidRDefault="004F3710" w:rsidP="00F47E41">
            <w:pPr>
              <w:ind w:left="0"/>
              <w:rPr>
                <w:bCs/>
                <w:sz w:val="24"/>
                <w:szCs w:val="24"/>
              </w:rPr>
            </w:pPr>
            <w:r w:rsidRPr="00F47E41">
              <w:rPr>
                <w:rFonts w:cs="Calibri"/>
                <w:color w:val="000000"/>
                <w:sz w:val="24"/>
                <w:szCs w:val="24"/>
              </w:rPr>
              <w:t>979</w:t>
            </w:r>
          </w:p>
        </w:tc>
      </w:tr>
      <w:tr w:rsidR="004F3710" w:rsidRPr="00F47E41" w14:paraId="70D4E00E" w14:textId="77777777" w:rsidTr="00F47E41">
        <w:tc>
          <w:tcPr>
            <w:tcW w:w="2405" w:type="dxa"/>
          </w:tcPr>
          <w:p w14:paraId="618E31C7" w14:textId="77777777" w:rsidR="004F3710" w:rsidRPr="00F47E41" w:rsidRDefault="004F3710" w:rsidP="00F47E41">
            <w:pPr>
              <w:ind w:left="0"/>
              <w:rPr>
                <w:bCs/>
                <w:sz w:val="24"/>
                <w:szCs w:val="24"/>
              </w:rPr>
            </w:pPr>
            <w:r w:rsidRPr="00F47E41">
              <w:rPr>
                <w:bCs/>
                <w:sz w:val="24"/>
                <w:szCs w:val="24"/>
              </w:rPr>
              <w:t>între 25 și 29 ani</w:t>
            </w:r>
          </w:p>
        </w:tc>
        <w:tc>
          <w:tcPr>
            <w:tcW w:w="3076" w:type="dxa"/>
            <w:vAlign w:val="center"/>
          </w:tcPr>
          <w:p w14:paraId="27187889" w14:textId="46E2CAF1" w:rsidR="004F3710" w:rsidRPr="00F47E41" w:rsidRDefault="004F3710" w:rsidP="00F47E41">
            <w:pPr>
              <w:ind w:left="0"/>
              <w:rPr>
                <w:bCs/>
                <w:sz w:val="24"/>
                <w:szCs w:val="24"/>
              </w:rPr>
            </w:pPr>
            <w:r w:rsidRPr="00F47E41">
              <w:rPr>
                <w:rFonts w:cs="Calibri"/>
                <w:color w:val="000000"/>
                <w:sz w:val="24"/>
                <w:szCs w:val="24"/>
              </w:rPr>
              <w:t>489</w:t>
            </w:r>
          </w:p>
        </w:tc>
      </w:tr>
      <w:tr w:rsidR="004F3710" w:rsidRPr="00F47E41" w14:paraId="14480661" w14:textId="77777777" w:rsidTr="00F47E41">
        <w:tc>
          <w:tcPr>
            <w:tcW w:w="2405" w:type="dxa"/>
          </w:tcPr>
          <w:p w14:paraId="31A47372" w14:textId="77777777" w:rsidR="004F3710" w:rsidRPr="00F47E41" w:rsidRDefault="004F3710" w:rsidP="00F47E41">
            <w:pPr>
              <w:ind w:left="0"/>
              <w:rPr>
                <w:bCs/>
                <w:sz w:val="24"/>
                <w:szCs w:val="24"/>
              </w:rPr>
            </w:pPr>
            <w:r w:rsidRPr="00F47E41">
              <w:rPr>
                <w:bCs/>
                <w:sz w:val="24"/>
                <w:szCs w:val="24"/>
              </w:rPr>
              <w:t>între 30 și 39 ani</w:t>
            </w:r>
          </w:p>
        </w:tc>
        <w:tc>
          <w:tcPr>
            <w:tcW w:w="3076" w:type="dxa"/>
            <w:vAlign w:val="center"/>
          </w:tcPr>
          <w:p w14:paraId="0CEDA7B8" w14:textId="0DE78152" w:rsidR="004F3710" w:rsidRPr="00F47E41" w:rsidRDefault="004F3710" w:rsidP="00F47E41">
            <w:pPr>
              <w:ind w:left="0"/>
              <w:rPr>
                <w:bCs/>
                <w:sz w:val="24"/>
                <w:szCs w:val="24"/>
              </w:rPr>
            </w:pPr>
            <w:r w:rsidRPr="00F47E41">
              <w:rPr>
                <w:rFonts w:cs="Calibri"/>
                <w:color w:val="000000"/>
                <w:sz w:val="24"/>
                <w:szCs w:val="24"/>
              </w:rPr>
              <w:t>1331</w:t>
            </w:r>
          </w:p>
        </w:tc>
      </w:tr>
      <w:tr w:rsidR="004F3710" w:rsidRPr="00F47E41" w14:paraId="4D770B2E" w14:textId="77777777" w:rsidTr="00F47E41">
        <w:tc>
          <w:tcPr>
            <w:tcW w:w="2405" w:type="dxa"/>
          </w:tcPr>
          <w:p w14:paraId="2A29641F" w14:textId="77777777" w:rsidR="004F3710" w:rsidRPr="00F47E41" w:rsidRDefault="004F3710" w:rsidP="00F47E41">
            <w:pPr>
              <w:ind w:left="0"/>
              <w:rPr>
                <w:bCs/>
                <w:sz w:val="24"/>
                <w:szCs w:val="24"/>
              </w:rPr>
            </w:pPr>
            <w:r w:rsidRPr="00F47E41">
              <w:rPr>
                <w:bCs/>
                <w:sz w:val="24"/>
                <w:szCs w:val="24"/>
              </w:rPr>
              <w:t>între 40 și 49 ani</w:t>
            </w:r>
          </w:p>
        </w:tc>
        <w:tc>
          <w:tcPr>
            <w:tcW w:w="3076" w:type="dxa"/>
            <w:vAlign w:val="center"/>
          </w:tcPr>
          <w:p w14:paraId="10F2CB89" w14:textId="40212D31" w:rsidR="004F3710" w:rsidRPr="00F47E41" w:rsidRDefault="004F3710" w:rsidP="00F47E41">
            <w:pPr>
              <w:ind w:left="0"/>
              <w:rPr>
                <w:bCs/>
                <w:sz w:val="24"/>
                <w:szCs w:val="24"/>
              </w:rPr>
            </w:pPr>
            <w:r w:rsidRPr="00F47E41">
              <w:rPr>
                <w:rFonts w:cs="Calibri"/>
                <w:color w:val="000000"/>
                <w:sz w:val="24"/>
                <w:szCs w:val="24"/>
              </w:rPr>
              <w:t>1545</w:t>
            </w:r>
          </w:p>
        </w:tc>
      </w:tr>
      <w:tr w:rsidR="004F3710" w:rsidRPr="00F47E41" w14:paraId="6C4D24BA" w14:textId="77777777" w:rsidTr="00F47E41">
        <w:tc>
          <w:tcPr>
            <w:tcW w:w="2405" w:type="dxa"/>
          </w:tcPr>
          <w:p w14:paraId="6AF4B754" w14:textId="77777777" w:rsidR="004F3710" w:rsidRPr="00F47E41" w:rsidRDefault="004F3710" w:rsidP="00F47E41">
            <w:pPr>
              <w:ind w:left="0"/>
              <w:rPr>
                <w:bCs/>
                <w:sz w:val="24"/>
                <w:szCs w:val="24"/>
              </w:rPr>
            </w:pPr>
            <w:r w:rsidRPr="00F47E41">
              <w:rPr>
                <w:bCs/>
                <w:sz w:val="24"/>
                <w:szCs w:val="24"/>
              </w:rPr>
              <w:t>între 50 și 55 ani</w:t>
            </w:r>
          </w:p>
        </w:tc>
        <w:tc>
          <w:tcPr>
            <w:tcW w:w="3076" w:type="dxa"/>
            <w:vAlign w:val="center"/>
          </w:tcPr>
          <w:p w14:paraId="492A06A1" w14:textId="58CD8C5E" w:rsidR="004F3710" w:rsidRPr="00F47E41" w:rsidRDefault="004F3710" w:rsidP="00F47E41">
            <w:pPr>
              <w:ind w:left="0"/>
              <w:rPr>
                <w:bCs/>
                <w:sz w:val="24"/>
                <w:szCs w:val="24"/>
              </w:rPr>
            </w:pPr>
            <w:r w:rsidRPr="00F47E41">
              <w:rPr>
                <w:rFonts w:cs="Calibri"/>
                <w:color w:val="000000"/>
                <w:sz w:val="24"/>
                <w:szCs w:val="24"/>
              </w:rPr>
              <w:t>1028</w:t>
            </w:r>
          </w:p>
        </w:tc>
      </w:tr>
      <w:tr w:rsidR="004F3710" w:rsidRPr="00F47E41" w14:paraId="4A235B40" w14:textId="77777777" w:rsidTr="00F47E41">
        <w:tc>
          <w:tcPr>
            <w:tcW w:w="2405" w:type="dxa"/>
          </w:tcPr>
          <w:p w14:paraId="6686F665" w14:textId="77777777" w:rsidR="004F3710" w:rsidRPr="00F47E41" w:rsidRDefault="004F3710" w:rsidP="00F47E41">
            <w:pPr>
              <w:ind w:left="0"/>
              <w:rPr>
                <w:bCs/>
                <w:sz w:val="24"/>
                <w:szCs w:val="24"/>
              </w:rPr>
            </w:pPr>
            <w:r w:rsidRPr="00F47E41">
              <w:rPr>
                <w:bCs/>
                <w:sz w:val="24"/>
                <w:szCs w:val="24"/>
              </w:rPr>
              <w:t>peste 55 ani</w:t>
            </w:r>
          </w:p>
        </w:tc>
        <w:tc>
          <w:tcPr>
            <w:tcW w:w="3076" w:type="dxa"/>
            <w:vAlign w:val="center"/>
          </w:tcPr>
          <w:p w14:paraId="62A76039" w14:textId="6029269C" w:rsidR="004F3710" w:rsidRPr="00F47E41" w:rsidRDefault="004F3710" w:rsidP="00F47E41">
            <w:pPr>
              <w:ind w:left="0"/>
              <w:rPr>
                <w:bCs/>
                <w:sz w:val="24"/>
                <w:szCs w:val="24"/>
              </w:rPr>
            </w:pPr>
            <w:r w:rsidRPr="00F47E41">
              <w:rPr>
                <w:rFonts w:cs="Calibri"/>
                <w:color w:val="000000"/>
                <w:sz w:val="24"/>
                <w:szCs w:val="24"/>
              </w:rPr>
              <w:t>1052</w:t>
            </w:r>
          </w:p>
        </w:tc>
      </w:tr>
    </w:tbl>
    <w:p w14:paraId="49707958" w14:textId="194C37DA" w:rsidR="0088036F" w:rsidRPr="00F47E41" w:rsidRDefault="004F3710" w:rsidP="0088036F">
      <w:pPr>
        <w:ind w:left="1440"/>
        <w:rPr>
          <w:noProof/>
          <w:sz w:val="24"/>
          <w:szCs w:val="24"/>
        </w:rPr>
      </w:pPr>
      <w:r w:rsidRPr="00F47E41">
        <w:rPr>
          <w:noProof/>
          <w:sz w:val="24"/>
          <w:szCs w:val="24"/>
        </w:rPr>
        <w:drawing>
          <wp:inline distT="0" distB="0" distL="0" distR="0" wp14:anchorId="0B3ACB9E" wp14:editId="5338A41B">
            <wp:extent cx="2019300" cy="2105025"/>
            <wp:effectExtent l="0" t="0" r="0" b="9525"/>
            <wp:docPr id="105138753" name="Diagramă 1">
              <a:extLst xmlns:a="http://schemas.openxmlformats.org/drawingml/2006/main">
                <a:ext uri="{FF2B5EF4-FFF2-40B4-BE49-F238E27FC236}">
                  <a16:creationId xmlns:a16="http://schemas.microsoft.com/office/drawing/2014/main" id="{CB7CE89A-200F-00F2-41A8-88FB160106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88036F" w:rsidRPr="00F47E41">
        <w:rPr>
          <w:noProof/>
          <w:sz w:val="24"/>
          <w:szCs w:val="24"/>
        </w:rPr>
        <w:t xml:space="preserve"> </w:t>
      </w:r>
    </w:p>
    <w:p w14:paraId="3F95DAC2" w14:textId="77777777" w:rsidR="00F47E41" w:rsidRDefault="00F47E41" w:rsidP="0088036F">
      <w:pPr>
        <w:ind w:left="0"/>
        <w:rPr>
          <w:bCs/>
          <w:sz w:val="24"/>
          <w:szCs w:val="24"/>
        </w:rPr>
      </w:pPr>
    </w:p>
    <w:p w14:paraId="65ED66FE" w14:textId="77777777" w:rsidR="00F47E41" w:rsidRDefault="00F47E41" w:rsidP="0088036F">
      <w:pPr>
        <w:ind w:left="0"/>
        <w:rPr>
          <w:bCs/>
          <w:sz w:val="24"/>
          <w:szCs w:val="24"/>
        </w:rPr>
      </w:pPr>
    </w:p>
    <w:p w14:paraId="7AEC0FAA" w14:textId="75A4688D" w:rsidR="0088036F" w:rsidRDefault="0088036F" w:rsidP="0088036F">
      <w:pPr>
        <w:ind w:left="0"/>
        <w:rPr>
          <w:bCs/>
          <w:sz w:val="24"/>
          <w:szCs w:val="24"/>
        </w:rPr>
      </w:pPr>
      <w:r w:rsidRPr="00F47E41">
        <w:rPr>
          <w:bCs/>
          <w:sz w:val="24"/>
          <w:szCs w:val="24"/>
        </w:rPr>
        <w:t>Referitor la structura șomajului după nivelul de instruire, șomerii fără studii și cei cu nivel de instruire primar au o pondere însemnată în totalul șomerilor înregistrați în evidența AJOFM Harghita, de 4</w:t>
      </w:r>
      <w:r w:rsidR="0039725B" w:rsidRPr="00F47E41">
        <w:rPr>
          <w:bCs/>
          <w:sz w:val="24"/>
          <w:szCs w:val="24"/>
        </w:rPr>
        <w:t>7</w:t>
      </w:r>
      <w:r w:rsidRPr="00F47E41">
        <w:rPr>
          <w:bCs/>
          <w:sz w:val="24"/>
          <w:szCs w:val="24"/>
        </w:rPr>
        <w:t>,</w:t>
      </w:r>
      <w:r w:rsidR="0039725B" w:rsidRPr="00F47E41">
        <w:rPr>
          <w:bCs/>
          <w:sz w:val="24"/>
          <w:szCs w:val="24"/>
        </w:rPr>
        <w:t>7</w:t>
      </w:r>
      <w:r w:rsidR="00BB5840" w:rsidRPr="00F47E41">
        <w:rPr>
          <w:bCs/>
          <w:sz w:val="24"/>
          <w:szCs w:val="24"/>
        </w:rPr>
        <w:t>9</w:t>
      </w:r>
      <w:r w:rsidRPr="00F47E41">
        <w:rPr>
          <w:bCs/>
          <w:sz w:val="24"/>
          <w:szCs w:val="24"/>
        </w:rPr>
        <w:t>%, urmat de șomerii cu nivel de instruire gimnazial care reprezintă 2</w:t>
      </w:r>
      <w:r w:rsidR="0039725B" w:rsidRPr="00F47E41">
        <w:rPr>
          <w:bCs/>
          <w:sz w:val="24"/>
          <w:szCs w:val="24"/>
        </w:rPr>
        <w:t>4</w:t>
      </w:r>
      <w:r w:rsidRPr="00F47E41">
        <w:rPr>
          <w:bCs/>
          <w:sz w:val="24"/>
          <w:szCs w:val="24"/>
        </w:rPr>
        <w:t>,</w:t>
      </w:r>
      <w:r w:rsidR="0039725B" w:rsidRPr="00F47E41">
        <w:rPr>
          <w:bCs/>
          <w:sz w:val="24"/>
          <w:szCs w:val="24"/>
        </w:rPr>
        <w:t>17</w:t>
      </w:r>
      <w:r w:rsidRPr="00F47E41">
        <w:rPr>
          <w:bCs/>
          <w:sz w:val="24"/>
          <w:szCs w:val="24"/>
        </w:rPr>
        <w:t>% din totalul șomerilor înregistrați, apoi cei cu studii liceale (1</w:t>
      </w:r>
      <w:r w:rsidR="0039725B" w:rsidRPr="00F47E41">
        <w:rPr>
          <w:bCs/>
          <w:sz w:val="24"/>
          <w:szCs w:val="24"/>
        </w:rPr>
        <w:t>3</w:t>
      </w:r>
      <w:r w:rsidRPr="00F47E41">
        <w:rPr>
          <w:bCs/>
          <w:sz w:val="24"/>
          <w:szCs w:val="24"/>
        </w:rPr>
        <w:t>,</w:t>
      </w:r>
      <w:r w:rsidR="0039725B" w:rsidRPr="00F47E41">
        <w:rPr>
          <w:bCs/>
          <w:sz w:val="24"/>
          <w:szCs w:val="24"/>
        </w:rPr>
        <w:t>09</w:t>
      </w:r>
      <w:r w:rsidRPr="00F47E41">
        <w:rPr>
          <w:bCs/>
          <w:sz w:val="24"/>
          <w:szCs w:val="24"/>
        </w:rPr>
        <w:t>%), urmat de cei cu studii profesionale ( 1</w:t>
      </w:r>
      <w:r w:rsidR="0039725B" w:rsidRPr="00F47E41">
        <w:rPr>
          <w:bCs/>
          <w:sz w:val="24"/>
          <w:szCs w:val="24"/>
        </w:rPr>
        <w:t>0</w:t>
      </w:r>
      <w:r w:rsidRPr="00F47E41">
        <w:rPr>
          <w:bCs/>
          <w:sz w:val="24"/>
          <w:szCs w:val="24"/>
        </w:rPr>
        <w:t>.</w:t>
      </w:r>
      <w:r w:rsidR="0039725B" w:rsidRPr="00F47E41">
        <w:rPr>
          <w:bCs/>
          <w:sz w:val="24"/>
          <w:szCs w:val="24"/>
        </w:rPr>
        <w:t>91</w:t>
      </w:r>
      <w:r w:rsidRPr="00F47E41">
        <w:rPr>
          <w:bCs/>
          <w:sz w:val="24"/>
          <w:szCs w:val="24"/>
        </w:rPr>
        <w:t>%) și cei cu studii universitare (</w:t>
      </w:r>
      <w:r w:rsidR="00BB0E13" w:rsidRPr="00F47E41">
        <w:rPr>
          <w:bCs/>
          <w:sz w:val="24"/>
          <w:szCs w:val="24"/>
        </w:rPr>
        <w:t>2</w:t>
      </w:r>
      <w:r w:rsidRPr="00F47E41">
        <w:rPr>
          <w:bCs/>
          <w:sz w:val="24"/>
          <w:szCs w:val="24"/>
        </w:rPr>
        <w:t>,</w:t>
      </w:r>
      <w:r w:rsidR="0039725B" w:rsidRPr="00F47E41">
        <w:rPr>
          <w:bCs/>
          <w:sz w:val="24"/>
          <w:szCs w:val="24"/>
        </w:rPr>
        <w:t>7</w:t>
      </w:r>
      <w:r w:rsidR="00320D9E" w:rsidRPr="00F47E41">
        <w:rPr>
          <w:bCs/>
          <w:sz w:val="24"/>
          <w:szCs w:val="24"/>
        </w:rPr>
        <w:t>9</w:t>
      </w:r>
      <w:r w:rsidRPr="00F47E41">
        <w:rPr>
          <w:bCs/>
          <w:sz w:val="24"/>
          <w:szCs w:val="24"/>
        </w:rPr>
        <w:t xml:space="preserve">%), iar cei cu studii postliceale reprezintă  cel mai mic </w:t>
      </w:r>
      <w:proofErr w:type="spellStart"/>
      <w:r w:rsidRPr="00F47E41">
        <w:rPr>
          <w:bCs/>
          <w:sz w:val="24"/>
          <w:szCs w:val="24"/>
        </w:rPr>
        <w:t>procent</w:t>
      </w:r>
      <w:proofErr w:type="spellEnd"/>
      <w:r w:rsidRPr="00F47E41">
        <w:rPr>
          <w:bCs/>
          <w:sz w:val="24"/>
          <w:szCs w:val="24"/>
        </w:rPr>
        <w:t xml:space="preserve"> din total 1,</w:t>
      </w:r>
      <w:r w:rsidR="00320D9E" w:rsidRPr="00F47E41">
        <w:rPr>
          <w:bCs/>
          <w:sz w:val="24"/>
          <w:szCs w:val="24"/>
        </w:rPr>
        <w:t>2</w:t>
      </w:r>
      <w:r w:rsidR="0039725B" w:rsidRPr="00F47E41">
        <w:rPr>
          <w:bCs/>
          <w:sz w:val="24"/>
          <w:szCs w:val="24"/>
        </w:rPr>
        <w:t>5</w:t>
      </w:r>
      <w:r w:rsidRPr="00F47E41">
        <w:rPr>
          <w:bCs/>
          <w:sz w:val="24"/>
          <w:szCs w:val="24"/>
        </w:rPr>
        <w:t>%.</w:t>
      </w:r>
    </w:p>
    <w:p w14:paraId="054E6EED" w14:textId="77777777" w:rsidR="0052451C" w:rsidRPr="00F47E41" w:rsidRDefault="0052451C" w:rsidP="0088036F">
      <w:pPr>
        <w:ind w:left="0"/>
        <w:rPr>
          <w:bCs/>
          <w:sz w:val="24"/>
          <w:szCs w:val="24"/>
        </w:rPr>
      </w:pPr>
    </w:p>
    <w:p w14:paraId="4D21DFC6" w14:textId="77777777" w:rsidR="0088036F" w:rsidRPr="00F47E41" w:rsidRDefault="0088036F" w:rsidP="0088036F">
      <w:pPr>
        <w:ind w:left="0"/>
        <w:rPr>
          <w:bCs/>
          <w:sz w:val="24"/>
          <w:szCs w:val="24"/>
        </w:rPr>
      </w:pPr>
      <w:r w:rsidRPr="00F47E41">
        <w:rPr>
          <w:bCs/>
          <w:sz w:val="24"/>
          <w:szCs w:val="24"/>
        </w:rPr>
        <w:t xml:space="preserve">Mai multe informații privind situația statistică a șomajului pot fi vizualizate accesând </w:t>
      </w:r>
      <w:hyperlink r:id="rId11" w:history="1">
        <w:r w:rsidRPr="00F47E41">
          <w:rPr>
            <w:rStyle w:val="Hyperlink"/>
            <w:bCs/>
            <w:sz w:val="24"/>
            <w:szCs w:val="24"/>
          </w:rPr>
          <w:t>www.anofm.ro</w:t>
        </w:r>
      </w:hyperlink>
      <w:r w:rsidRPr="00F47E41">
        <w:rPr>
          <w:bCs/>
          <w:sz w:val="24"/>
          <w:szCs w:val="24"/>
        </w:rPr>
        <w:t xml:space="preserve"> /AJOFM Harghita/Despre noi/Programe, statistici.</w:t>
      </w:r>
    </w:p>
    <w:sectPr w:rsidR="0088036F" w:rsidRPr="00F47E41" w:rsidSect="003738C8">
      <w:headerReference w:type="default" r:id="rId12"/>
      <w:footerReference w:type="default" r:id="rId13"/>
      <w:headerReference w:type="first" r:id="rId14"/>
      <w:footerReference w:type="first" r:id="rId15"/>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11EAF" w14:textId="77777777" w:rsidR="00DD793B" w:rsidRDefault="00DD793B" w:rsidP="00CD5B3B">
      <w:r>
        <w:separator/>
      </w:r>
    </w:p>
  </w:endnote>
  <w:endnote w:type="continuationSeparator" w:id="0">
    <w:p w14:paraId="32CF9D48" w14:textId="77777777" w:rsidR="00DD793B" w:rsidRDefault="00DD793B"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3E55E" w14:textId="77777777" w:rsidR="003829BC" w:rsidRPr="0066192D" w:rsidRDefault="003829BC" w:rsidP="003829BC">
    <w:pPr>
      <w:tabs>
        <w:tab w:val="center" w:pos="4320"/>
        <w:tab w:val="right" w:pos="8640"/>
      </w:tabs>
      <w:spacing w:after="0" w:line="240" w:lineRule="auto"/>
      <w:ind w:left="0"/>
      <w:rPr>
        <w:sz w:val="16"/>
        <w:szCs w:val="14"/>
        <w:lang w:val="ro-RO"/>
      </w:rPr>
    </w:pPr>
    <w:r>
      <w:rPr>
        <w:noProof/>
        <w:sz w:val="14"/>
        <w:szCs w:val="14"/>
      </w:rPr>
      <mc:AlternateContent>
        <mc:Choice Requires="wps">
          <w:drawing>
            <wp:anchor distT="0" distB="0" distL="114300" distR="114300" simplePos="0" relativeHeight="251658240" behindDoc="0" locked="0" layoutInCell="1" allowOverlap="1" wp14:anchorId="4BBED582" wp14:editId="7311C832">
              <wp:simplePos x="0" y="0"/>
              <wp:positionH relativeFrom="margin">
                <wp:align>left</wp:align>
              </wp:positionH>
              <wp:positionV relativeFrom="paragraph">
                <wp:posOffset>50165</wp:posOffset>
              </wp:positionV>
              <wp:extent cx="58007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BBAE7" id="Straight Connector 1" o:spid="_x0000_s1026" style="position:absolute;flip:y;z-index:251658240;visibility:visible;mso-wrap-style:square;mso-wrap-distance-left:9pt;mso-wrap-distance-top:0;mso-wrap-distance-right:9pt;mso-wrap-distance-bottom:0;mso-position-horizontal:left;mso-position-horizontal-relative:margin;mso-position-vertical:absolute;mso-position-vertical-relative:text" from="0,3.95pt" to="456.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" strokecolor="#4579b8 [3044]">
              <w10:wrap anchorx="margin"/>
            </v:line>
          </w:pict>
        </mc:Fallback>
      </mc:AlternateContent>
    </w:r>
  </w:p>
  <w:p w14:paraId="716334C4"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AJOFM HARGHITA</w:t>
    </w:r>
  </w:p>
  <w:p w14:paraId="05EC3985"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B-dul Frăţiei nr.2, Miercurea Ciuc</w:t>
    </w:r>
  </w:p>
  <w:p w14:paraId="52674F99"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Tel.: +4 0266 313 423; Fax: 0266 312 885</w:t>
    </w:r>
  </w:p>
  <w:p w14:paraId="606587D5"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 xml:space="preserve">e-mail: ajofm.hr@anofm.gov.ro; </w:t>
    </w:r>
  </w:p>
  <w:p w14:paraId="3218DBC2" w14:textId="77777777" w:rsidR="004320AC" w:rsidRPr="00F44190" w:rsidRDefault="003829BC" w:rsidP="003829BC">
    <w:pPr>
      <w:pStyle w:val="Footer"/>
      <w:spacing w:after="0" w:line="240" w:lineRule="auto"/>
      <w:ind w:left="0"/>
      <w:rPr>
        <w:sz w:val="14"/>
        <w:szCs w:val="14"/>
        <w:lang w:val="ro-RO"/>
      </w:rPr>
    </w:pPr>
    <w:r w:rsidRPr="0066192D">
      <w:rPr>
        <w:sz w:val="16"/>
        <w:szCs w:val="14"/>
        <w:lang w:val="ro-RO"/>
      </w:rPr>
      <w:t xml:space="preserve">www.anofm.ro/harghita/; </w:t>
    </w:r>
    <w:hyperlink r:id="rId1" w:history="1">
      <w:r w:rsidRPr="0066192D">
        <w:rPr>
          <w:color w:val="0000FF"/>
          <w:sz w:val="18"/>
          <w:szCs w:val="18"/>
          <w:u w:val="single"/>
          <w:lang w:val="ro-RO"/>
        </w:rPr>
        <w:t>www.facebook.com/A.J.O.F.M</w:t>
      </w:r>
    </w:hyperlink>
    <w:r w:rsidRPr="0066192D">
      <w:rPr>
        <w:color w:val="0000FF"/>
        <w:sz w:val="18"/>
        <w:szCs w:val="18"/>
        <w:u w:val="single"/>
        <w:lang w:val="ro-RO"/>
      </w:rPr>
      <w:t>. Harghita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0C560" w14:textId="77777777" w:rsidR="009F3D33" w:rsidRPr="00920E02" w:rsidRDefault="009F3D33" w:rsidP="009F3D33">
    <w:pPr>
      <w:pStyle w:val="Footer"/>
      <w:tabs>
        <w:tab w:val="left" w:pos="0"/>
      </w:tabs>
      <w:spacing w:after="0" w:line="240" w:lineRule="auto"/>
      <w:ind w:left="0"/>
      <w:rPr>
        <w:sz w:val="12"/>
        <w:szCs w:val="12"/>
        <w:lang w:val="ro-RO"/>
      </w:rPr>
    </w:pPr>
    <w:r w:rsidRPr="00920E02">
      <w:rPr>
        <w:sz w:val="12"/>
        <w:szCs w:val="12"/>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5340C1CD" w14:textId="77777777" w:rsidR="009F3D33" w:rsidRPr="00920E02" w:rsidRDefault="009F3D33" w:rsidP="009F3D33">
    <w:pPr>
      <w:pStyle w:val="Footer"/>
      <w:tabs>
        <w:tab w:val="left" w:pos="0"/>
      </w:tabs>
      <w:spacing w:after="0" w:line="240" w:lineRule="auto"/>
      <w:ind w:left="0"/>
      <w:rPr>
        <w:rFonts w:cs="Arial"/>
        <w:sz w:val="12"/>
        <w:szCs w:val="12"/>
        <w:lang w:val="ro-RO"/>
      </w:rPr>
    </w:pPr>
    <w:r w:rsidRPr="00920E02">
      <w:rPr>
        <w:sz w:val="12"/>
        <w:szCs w:val="12"/>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p w14:paraId="3CD63B4F" w14:textId="77777777" w:rsidR="003829BC" w:rsidRPr="0066192D" w:rsidRDefault="003829BC" w:rsidP="003829BC">
    <w:pPr>
      <w:tabs>
        <w:tab w:val="center" w:pos="4320"/>
        <w:tab w:val="right" w:pos="8640"/>
      </w:tabs>
      <w:spacing w:after="0" w:line="240" w:lineRule="auto"/>
      <w:ind w:left="0"/>
      <w:rPr>
        <w:sz w:val="16"/>
        <w:szCs w:val="14"/>
        <w:lang w:val="ro-RO"/>
      </w:rPr>
    </w:pPr>
    <w:r w:rsidRPr="00B91EC8">
      <w:rPr>
        <w:noProof/>
        <w:color w:val="FF0000"/>
        <w:sz w:val="14"/>
        <w:szCs w:val="14"/>
      </w:rPr>
      <mc:AlternateContent>
        <mc:Choice Requires="wps">
          <w:drawing>
            <wp:anchor distT="0" distB="0" distL="114300" distR="114300" simplePos="0" relativeHeight="251659264" behindDoc="0" locked="0" layoutInCell="1" allowOverlap="1" wp14:anchorId="67AF3E19" wp14:editId="48EE4549">
              <wp:simplePos x="0" y="0"/>
              <wp:positionH relativeFrom="column">
                <wp:posOffset>-11430</wp:posOffset>
              </wp:positionH>
              <wp:positionV relativeFrom="paragraph">
                <wp:posOffset>59690</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B8821"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pt,4.7pt" to="456.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" strokecolor="#4579b8 [3044]"/>
          </w:pict>
        </mc:Fallback>
      </mc:AlternateContent>
    </w:r>
  </w:p>
  <w:p w14:paraId="01AE17D3"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AJOFM HARGHITA</w:t>
    </w:r>
  </w:p>
  <w:p w14:paraId="0ED4B021"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B-dul Frăţiei nr.2, Miercurea Ciuc</w:t>
    </w:r>
  </w:p>
  <w:p w14:paraId="1075977E"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Tel.: +4 0266 313 423; Fax: 0266 312 885</w:t>
    </w:r>
  </w:p>
  <w:p w14:paraId="0A417B6B"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 xml:space="preserve">e-mail: ajofm.hr@anofm.gov.ro; </w:t>
    </w:r>
  </w:p>
  <w:p w14:paraId="0D2865A8" w14:textId="77777777" w:rsidR="004320AC" w:rsidRPr="00F44190" w:rsidRDefault="003829BC" w:rsidP="003829BC">
    <w:pPr>
      <w:pStyle w:val="Footer"/>
      <w:spacing w:after="0" w:line="240" w:lineRule="auto"/>
      <w:ind w:left="0"/>
      <w:rPr>
        <w:sz w:val="14"/>
        <w:szCs w:val="14"/>
        <w:lang w:val="ro-RO"/>
      </w:rPr>
    </w:pPr>
    <w:r w:rsidRPr="0066192D">
      <w:rPr>
        <w:sz w:val="16"/>
        <w:szCs w:val="14"/>
        <w:lang w:val="ro-RO"/>
      </w:rPr>
      <w:t xml:space="preserve">www.anofm.ro/harghita/; </w:t>
    </w:r>
    <w:hyperlink r:id="rId1" w:history="1">
      <w:r w:rsidRPr="0066192D">
        <w:rPr>
          <w:color w:val="0000FF"/>
          <w:sz w:val="18"/>
          <w:szCs w:val="18"/>
          <w:u w:val="single"/>
          <w:lang w:val="ro-RO"/>
        </w:rPr>
        <w:t>www.facebook.com/A.J.O.F.M</w:t>
      </w:r>
    </w:hyperlink>
    <w:r w:rsidRPr="0066192D">
      <w:rPr>
        <w:color w:val="0000FF"/>
        <w:sz w:val="18"/>
        <w:szCs w:val="18"/>
        <w:u w:val="single"/>
        <w:lang w:val="ro-RO"/>
      </w:rPr>
      <w:t>. Harghita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1</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2D6AA" w14:textId="77777777" w:rsidR="00DD793B" w:rsidRDefault="00DD793B" w:rsidP="00CD5B3B">
      <w:r>
        <w:separator/>
      </w:r>
    </w:p>
  </w:footnote>
  <w:footnote w:type="continuationSeparator" w:id="0">
    <w:p w14:paraId="5A2F3BEB" w14:textId="77777777" w:rsidR="00DD793B" w:rsidRDefault="00DD793B"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6378"/>
      <w:gridCol w:w="2836"/>
    </w:tblGrid>
    <w:tr w:rsidR="004320AC" w14:paraId="08F611B2" w14:textId="77777777" w:rsidTr="003738C8">
      <w:trPr>
        <w:trHeight w:val="987"/>
      </w:trPr>
      <w:tc>
        <w:tcPr>
          <w:tcW w:w="5103" w:type="dxa"/>
          <w:shd w:val="clear" w:color="auto" w:fill="auto"/>
        </w:tcPr>
        <w:p w14:paraId="42BB3C7D" w14:textId="77777777" w:rsidR="004320AC" w:rsidRPr="00CD5B3B" w:rsidRDefault="001C7677" w:rsidP="00011077">
          <w:pPr>
            <w:pStyle w:val="MediumGrid21"/>
          </w:pPr>
          <w:r>
            <w:rPr>
              <w:noProof/>
            </w:rPr>
            <w:drawing>
              <wp:inline distT="0" distB="0" distL="0" distR="0" wp14:anchorId="57880CED" wp14:editId="1964D151">
                <wp:extent cx="4050030" cy="5021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c>
        <w:tcPr>
          <w:tcW w:w="4111" w:type="dxa"/>
          <w:shd w:val="clear" w:color="auto" w:fill="auto"/>
          <w:vAlign w:val="center"/>
        </w:tcPr>
        <w:p w14:paraId="240C5A6F" w14:textId="77777777" w:rsidR="004320AC" w:rsidRDefault="004320AC" w:rsidP="00011077">
          <w:pPr>
            <w:pStyle w:val="MediumGrid21"/>
            <w:jc w:val="right"/>
          </w:pPr>
        </w:p>
      </w:tc>
    </w:tr>
  </w:tbl>
  <w:p w14:paraId="63118412" w14:textId="77777777" w:rsidR="004320AC" w:rsidRPr="00CD5B3B" w:rsidRDefault="004320AC" w:rsidP="000110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14:paraId="6221431C" w14:textId="77777777" w:rsidTr="0007474B">
      <w:tc>
        <w:tcPr>
          <w:tcW w:w="8647" w:type="dxa"/>
          <w:shd w:val="clear" w:color="auto" w:fill="auto"/>
        </w:tcPr>
        <w:p w14:paraId="452D1401" w14:textId="55665D30" w:rsidR="004320AC" w:rsidRPr="00B44471" w:rsidRDefault="006F33E7" w:rsidP="0081589B">
          <w:pPr>
            <w:pStyle w:val="MediumGrid21"/>
            <w:rPr>
              <w:lang w:val="ro-RO"/>
            </w:rPr>
          </w:pPr>
          <w:r>
            <w:rPr>
              <w:lang w:val="ro-RO"/>
            </w:rPr>
            <w:ptab w:relativeTo="indent" w:alignment="right" w:leader="none"/>
          </w:r>
          <w:r w:rsidR="004028F9">
            <w:rPr>
              <w:noProof/>
              <w:sz w:val="16"/>
              <w:szCs w:val="16"/>
            </w:rPr>
            <w:drawing>
              <wp:inline distT="0" distB="0" distL="0" distR="0" wp14:anchorId="0C3A1C8E" wp14:editId="2C6626C3">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14:paraId="6D654BFE" w14:textId="77777777" w:rsidR="004320AC" w:rsidRDefault="004320AC" w:rsidP="00E562FC">
          <w:pPr>
            <w:pStyle w:val="MediumGrid21"/>
            <w:jc w:val="right"/>
          </w:pPr>
          <w:r>
            <w:rPr>
              <w:noProof/>
            </w:rPr>
            <w:drawing>
              <wp:anchor distT="0" distB="0" distL="114300" distR="114300" simplePos="0" relativeHeight="251657216" behindDoc="0" locked="0" layoutInCell="1" allowOverlap="1" wp14:anchorId="65E9E300" wp14:editId="58B660DF">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118827B" w14:textId="77777777"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67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82"/>
    <w:rsid w:val="00011077"/>
    <w:rsid w:val="0001236D"/>
    <w:rsid w:val="00013E11"/>
    <w:rsid w:val="000270BE"/>
    <w:rsid w:val="0003163C"/>
    <w:rsid w:val="000373AF"/>
    <w:rsid w:val="00042E51"/>
    <w:rsid w:val="00051AA3"/>
    <w:rsid w:val="000642AA"/>
    <w:rsid w:val="0007474B"/>
    <w:rsid w:val="00074D5F"/>
    <w:rsid w:val="00082DF5"/>
    <w:rsid w:val="000832EB"/>
    <w:rsid w:val="000A2E12"/>
    <w:rsid w:val="000A31B4"/>
    <w:rsid w:val="000C071C"/>
    <w:rsid w:val="000C16DF"/>
    <w:rsid w:val="000C24D5"/>
    <w:rsid w:val="000C30D0"/>
    <w:rsid w:val="000F2163"/>
    <w:rsid w:val="000F4B28"/>
    <w:rsid w:val="000F688A"/>
    <w:rsid w:val="00100F36"/>
    <w:rsid w:val="00110AF1"/>
    <w:rsid w:val="001632A2"/>
    <w:rsid w:val="00176352"/>
    <w:rsid w:val="001856EE"/>
    <w:rsid w:val="00186BFB"/>
    <w:rsid w:val="00187A3F"/>
    <w:rsid w:val="00193E26"/>
    <w:rsid w:val="001C7677"/>
    <w:rsid w:val="001D2C99"/>
    <w:rsid w:val="001D651F"/>
    <w:rsid w:val="001F02C9"/>
    <w:rsid w:val="001F6EEC"/>
    <w:rsid w:val="001F7A3C"/>
    <w:rsid w:val="002046C8"/>
    <w:rsid w:val="002053DC"/>
    <w:rsid w:val="0021532B"/>
    <w:rsid w:val="002673A1"/>
    <w:rsid w:val="0028016A"/>
    <w:rsid w:val="00294102"/>
    <w:rsid w:val="002A1C92"/>
    <w:rsid w:val="002A4FF7"/>
    <w:rsid w:val="002A5742"/>
    <w:rsid w:val="002C59E9"/>
    <w:rsid w:val="002D363D"/>
    <w:rsid w:val="002E3C3B"/>
    <w:rsid w:val="002F29B8"/>
    <w:rsid w:val="0030227F"/>
    <w:rsid w:val="00305DE5"/>
    <w:rsid w:val="003070E3"/>
    <w:rsid w:val="003115C1"/>
    <w:rsid w:val="00312081"/>
    <w:rsid w:val="003134B0"/>
    <w:rsid w:val="00320D9E"/>
    <w:rsid w:val="003441B9"/>
    <w:rsid w:val="00360BF2"/>
    <w:rsid w:val="00361B5F"/>
    <w:rsid w:val="00367AC0"/>
    <w:rsid w:val="003738C8"/>
    <w:rsid w:val="00373E18"/>
    <w:rsid w:val="00381286"/>
    <w:rsid w:val="003829BC"/>
    <w:rsid w:val="00395093"/>
    <w:rsid w:val="003950C5"/>
    <w:rsid w:val="0039725B"/>
    <w:rsid w:val="003A6DA1"/>
    <w:rsid w:val="003B0EB0"/>
    <w:rsid w:val="003C1B81"/>
    <w:rsid w:val="003C5F18"/>
    <w:rsid w:val="003D0D81"/>
    <w:rsid w:val="003D5A60"/>
    <w:rsid w:val="003F4685"/>
    <w:rsid w:val="004028F9"/>
    <w:rsid w:val="00403C3F"/>
    <w:rsid w:val="00403F09"/>
    <w:rsid w:val="00407382"/>
    <w:rsid w:val="00412DAB"/>
    <w:rsid w:val="00427C17"/>
    <w:rsid w:val="004320AC"/>
    <w:rsid w:val="00441E15"/>
    <w:rsid w:val="00442B14"/>
    <w:rsid w:val="00443AE8"/>
    <w:rsid w:val="004510F7"/>
    <w:rsid w:val="00451AD0"/>
    <w:rsid w:val="0045426E"/>
    <w:rsid w:val="00465ABF"/>
    <w:rsid w:val="004713A4"/>
    <w:rsid w:val="004714D6"/>
    <w:rsid w:val="00480979"/>
    <w:rsid w:val="00493AD5"/>
    <w:rsid w:val="004A4EA8"/>
    <w:rsid w:val="004B1CE1"/>
    <w:rsid w:val="004B4737"/>
    <w:rsid w:val="004C780E"/>
    <w:rsid w:val="004D5F89"/>
    <w:rsid w:val="004E3CBB"/>
    <w:rsid w:val="004E47D4"/>
    <w:rsid w:val="004F177E"/>
    <w:rsid w:val="004F3710"/>
    <w:rsid w:val="00511D6E"/>
    <w:rsid w:val="0051391D"/>
    <w:rsid w:val="0052451C"/>
    <w:rsid w:val="00547CF1"/>
    <w:rsid w:val="00554C2D"/>
    <w:rsid w:val="0056387D"/>
    <w:rsid w:val="0057501B"/>
    <w:rsid w:val="00577B20"/>
    <w:rsid w:val="00582C45"/>
    <w:rsid w:val="00594493"/>
    <w:rsid w:val="00595A78"/>
    <w:rsid w:val="00597F84"/>
    <w:rsid w:val="005A0010"/>
    <w:rsid w:val="005A36DF"/>
    <w:rsid w:val="005A789B"/>
    <w:rsid w:val="005B0684"/>
    <w:rsid w:val="005B3021"/>
    <w:rsid w:val="005C6DC4"/>
    <w:rsid w:val="005D21B1"/>
    <w:rsid w:val="005E6FFA"/>
    <w:rsid w:val="005F1A51"/>
    <w:rsid w:val="005F756F"/>
    <w:rsid w:val="0061261F"/>
    <w:rsid w:val="00646585"/>
    <w:rsid w:val="00654FBB"/>
    <w:rsid w:val="006579C6"/>
    <w:rsid w:val="006939E3"/>
    <w:rsid w:val="006A1B6C"/>
    <w:rsid w:val="006A263E"/>
    <w:rsid w:val="006B043C"/>
    <w:rsid w:val="006B528B"/>
    <w:rsid w:val="006C1FAB"/>
    <w:rsid w:val="006D76F4"/>
    <w:rsid w:val="006D7EA7"/>
    <w:rsid w:val="006E1F27"/>
    <w:rsid w:val="006E55F8"/>
    <w:rsid w:val="006E6146"/>
    <w:rsid w:val="006F33E7"/>
    <w:rsid w:val="0071411C"/>
    <w:rsid w:val="00714A39"/>
    <w:rsid w:val="00722BEC"/>
    <w:rsid w:val="0073042D"/>
    <w:rsid w:val="007322B0"/>
    <w:rsid w:val="00733CF7"/>
    <w:rsid w:val="00741EAC"/>
    <w:rsid w:val="00751E19"/>
    <w:rsid w:val="00754076"/>
    <w:rsid w:val="00766E0E"/>
    <w:rsid w:val="007914E2"/>
    <w:rsid w:val="007966D9"/>
    <w:rsid w:val="007B005F"/>
    <w:rsid w:val="007B54D2"/>
    <w:rsid w:val="007C1093"/>
    <w:rsid w:val="007C1EDA"/>
    <w:rsid w:val="007C627B"/>
    <w:rsid w:val="007C6ACA"/>
    <w:rsid w:val="0080554D"/>
    <w:rsid w:val="0080611A"/>
    <w:rsid w:val="008114F7"/>
    <w:rsid w:val="0081302F"/>
    <w:rsid w:val="0081589B"/>
    <w:rsid w:val="00846443"/>
    <w:rsid w:val="00860515"/>
    <w:rsid w:val="008621E2"/>
    <w:rsid w:val="00872110"/>
    <w:rsid w:val="0088036F"/>
    <w:rsid w:val="00887484"/>
    <w:rsid w:val="00891951"/>
    <w:rsid w:val="00896623"/>
    <w:rsid w:val="00896CE2"/>
    <w:rsid w:val="008A0FDC"/>
    <w:rsid w:val="008A2575"/>
    <w:rsid w:val="008A2AC0"/>
    <w:rsid w:val="008B4426"/>
    <w:rsid w:val="008B4FEB"/>
    <w:rsid w:val="008C4503"/>
    <w:rsid w:val="008F3FC8"/>
    <w:rsid w:val="008F4D2B"/>
    <w:rsid w:val="00904EDE"/>
    <w:rsid w:val="00915096"/>
    <w:rsid w:val="00920E02"/>
    <w:rsid w:val="009312CC"/>
    <w:rsid w:val="00931B51"/>
    <w:rsid w:val="0093506B"/>
    <w:rsid w:val="00944611"/>
    <w:rsid w:val="009508C1"/>
    <w:rsid w:val="00952F7A"/>
    <w:rsid w:val="00956C81"/>
    <w:rsid w:val="00976C79"/>
    <w:rsid w:val="00985FA2"/>
    <w:rsid w:val="009B243B"/>
    <w:rsid w:val="009C4816"/>
    <w:rsid w:val="009E181F"/>
    <w:rsid w:val="009F3D33"/>
    <w:rsid w:val="00A07E98"/>
    <w:rsid w:val="00A33111"/>
    <w:rsid w:val="00A50AA0"/>
    <w:rsid w:val="00A73B09"/>
    <w:rsid w:val="00A84CF2"/>
    <w:rsid w:val="00A90C70"/>
    <w:rsid w:val="00A92206"/>
    <w:rsid w:val="00AA090C"/>
    <w:rsid w:val="00AA565A"/>
    <w:rsid w:val="00AB6801"/>
    <w:rsid w:val="00AD6AD2"/>
    <w:rsid w:val="00AE1CF4"/>
    <w:rsid w:val="00AE26B4"/>
    <w:rsid w:val="00B13BB4"/>
    <w:rsid w:val="00B21ACA"/>
    <w:rsid w:val="00B2305A"/>
    <w:rsid w:val="00B41A39"/>
    <w:rsid w:val="00B423F2"/>
    <w:rsid w:val="00B44471"/>
    <w:rsid w:val="00B53DD5"/>
    <w:rsid w:val="00B56680"/>
    <w:rsid w:val="00B62D39"/>
    <w:rsid w:val="00B65876"/>
    <w:rsid w:val="00B67595"/>
    <w:rsid w:val="00B711A9"/>
    <w:rsid w:val="00B7206B"/>
    <w:rsid w:val="00B91EC8"/>
    <w:rsid w:val="00BB0E13"/>
    <w:rsid w:val="00BB4295"/>
    <w:rsid w:val="00BB5840"/>
    <w:rsid w:val="00BC4A2A"/>
    <w:rsid w:val="00BE283F"/>
    <w:rsid w:val="00BE66DE"/>
    <w:rsid w:val="00BE7B02"/>
    <w:rsid w:val="00C05F49"/>
    <w:rsid w:val="00C20EF1"/>
    <w:rsid w:val="00C44532"/>
    <w:rsid w:val="00C6554C"/>
    <w:rsid w:val="00C752FA"/>
    <w:rsid w:val="00C82169"/>
    <w:rsid w:val="00C82841"/>
    <w:rsid w:val="00C92DE1"/>
    <w:rsid w:val="00C94CC6"/>
    <w:rsid w:val="00CB567C"/>
    <w:rsid w:val="00CB5682"/>
    <w:rsid w:val="00CC0A47"/>
    <w:rsid w:val="00CC1BCE"/>
    <w:rsid w:val="00CC3917"/>
    <w:rsid w:val="00CD0C6C"/>
    <w:rsid w:val="00CD0F06"/>
    <w:rsid w:val="00CD17CD"/>
    <w:rsid w:val="00CD5B3B"/>
    <w:rsid w:val="00CF79B2"/>
    <w:rsid w:val="00CF7E5D"/>
    <w:rsid w:val="00D040A5"/>
    <w:rsid w:val="00D06E9C"/>
    <w:rsid w:val="00D1280C"/>
    <w:rsid w:val="00D132ED"/>
    <w:rsid w:val="00D15E92"/>
    <w:rsid w:val="00D163EB"/>
    <w:rsid w:val="00D27104"/>
    <w:rsid w:val="00D27D4C"/>
    <w:rsid w:val="00D30A85"/>
    <w:rsid w:val="00D44463"/>
    <w:rsid w:val="00D4486D"/>
    <w:rsid w:val="00D474C0"/>
    <w:rsid w:val="00D54B56"/>
    <w:rsid w:val="00D7361E"/>
    <w:rsid w:val="00D849EA"/>
    <w:rsid w:val="00D86D72"/>
    <w:rsid w:val="00D86F1D"/>
    <w:rsid w:val="00D9640B"/>
    <w:rsid w:val="00D96A31"/>
    <w:rsid w:val="00DA1C6B"/>
    <w:rsid w:val="00DA6A0D"/>
    <w:rsid w:val="00DC0E34"/>
    <w:rsid w:val="00DC4D0D"/>
    <w:rsid w:val="00DC7C5F"/>
    <w:rsid w:val="00DD4E72"/>
    <w:rsid w:val="00DD793B"/>
    <w:rsid w:val="00DE3BAA"/>
    <w:rsid w:val="00DE6A18"/>
    <w:rsid w:val="00DE7FC8"/>
    <w:rsid w:val="00DF42F3"/>
    <w:rsid w:val="00E26C86"/>
    <w:rsid w:val="00E462CE"/>
    <w:rsid w:val="00E562FC"/>
    <w:rsid w:val="00E60ED7"/>
    <w:rsid w:val="00E756F5"/>
    <w:rsid w:val="00E96F2D"/>
    <w:rsid w:val="00EA0F6C"/>
    <w:rsid w:val="00EB6EBB"/>
    <w:rsid w:val="00ED2DC3"/>
    <w:rsid w:val="00ED499D"/>
    <w:rsid w:val="00F02E4A"/>
    <w:rsid w:val="00F1264C"/>
    <w:rsid w:val="00F20FDD"/>
    <w:rsid w:val="00F27CDB"/>
    <w:rsid w:val="00F415E0"/>
    <w:rsid w:val="00F47E41"/>
    <w:rsid w:val="00F517FD"/>
    <w:rsid w:val="00F5239C"/>
    <w:rsid w:val="00F659E6"/>
    <w:rsid w:val="00F67D20"/>
    <w:rsid w:val="00F71F4B"/>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86D831"/>
  <w14:defaultImageDpi w14:val="300"/>
  <w15:docId w15:val="{93406ECE-3790-4532-81DD-5F280445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ofm.r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facebook.com/A.J.O.F.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acebook.com/A.J.O.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beriu.panescu\Documents\Edit\template%20antet%20AJOFM%20-%20ALOFM%20-%20CRFPA%20-%20CRFPPP%20-%20ian%202025.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tiberiu.panescu\Documents\Edit\Indicatori%202025\Statistici\Martie%202025\Statistici%20si%20comunicate%20site\grafice%20pt.%20comunicat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iberiu.panescu\Documents\Edit\Indicatori%202025\Statistici\Martie%202025\Statistici%20si%20comunicate%20site\grafice%20pt.%20comunicat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iberiu.panescu\Documents\Edit\Indicatori%202025\Statistici\Martie%202025\Statistici%20si%20comunicate%20site\grafice%20pt.%20comunicate.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Evolutia numarului somerilor inregistrati in perioada</a:t>
            </a:r>
          </a:p>
          <a:p>
            <a:pPr>
              <a:defRPr/>
            </a:pPr>
            <a:r>
              <a:rPr lang="en-US" sz="1400" b="0" i="0" u="none" strike="noStrike" kern="1200" spc="0" baseline="0">
                <a:solidFill>
                  <a:sysClr val="windowText" lastClr="000000">
                    <a:lumMod val="65000"/>
                    <a:lumOff val="35000"/>
                  </a:sysClr>
                </a:solidFill>
              </a:rPr>
              <a:t> 2020-2025</a:t>
            </a:r>
            <a:endParaRPr lang="ro-RO" sz="1400" b="0" i="0" u="none" strike="noStrike" kern="1200" spc="0" baseline="0">
              <a:solidFill>
                <a:sysClr val="windowText" lastClr="000000">
                  <a:lumMod val="65000"/>
                  <a:lumOff val="35000"/>
                </a:sysClr>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o-RO"/>
        </a:p>
      </c:txPr>
    </c:title>
    <c:autoTitleDeleted val="0"/>
    <c:plotArea>
      <c:layout/>
      <c:lineChart>
        <c:grouping val="standard"/>
        <c:varyColors val="0"/>
        <c:ser>
          <c:idx val="0"/>
          <c:order val="0"/>
          <c:tx>
            <c:strRef>
              <c:f>grafice!$A$36</c:f>
              <c:strCache>
                <c:ptCount val="1"/>
                <c:pt idx="0">
                  <c:v>2020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grafice!$B$34:$M$35</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grafice!$B$36:$M$36</c:f>
              <c:numCache>
                <c:formatCode>General</c:formatCode>
                <c:ptCount val="12"/>
                <c:pt idx="0">
                  <c:v>5115</c:v>
                </c:pt>
                <c:pt idx="1">
                  <c:v>4977</c:v>
                </c:pt>
                <c:pt idx="2">
                  <c:v>4843</c:v>
                </c:pt>
                <c:pt idx="3">
                  <c:v>5087</c:v>
                </c:pt>
                <c:pt idx="4">
                  <c:v>5063</c:v>
                </c:pt>
                <c:pt idx="5">
                  <c:v>5244</c:v>
                </c:pt>
                <c:pt idx="6">
                  <c:v>5730</c:v>
                </c:pt>
                <c:pt idx="7">
                  <c:v>6034</c:v>
                </c:pt>
                <c:pt idx="8">
                  <c:v>5517</c:v>
                </c:pt>
                <c:pt idx="9">
                  <c:v>6108</c:v>
                </c:pt>
                <c:pt idx="10">
                  <c:v>6504</c:v>
                </c:pt>
                <c:pt idx="11">
                  <c:v>6162</c:v>
                </c:pt>
              </c:numCache>
            </c:numRef>
          </c:val>
          <c:smooth val="0"/>
          <c:extLst>
            <c:ext xmlns:c16="http://schemas.microsoft.com/office/drawing/2014/chart" uri="{C3380CC4-5D6E-409C-BE32-E72D297353CC}">
              <c16:uniqueId val="{00000000-FB5F-4728-9210-5EDD9F2AA43E}"/>
            </c:ext>
          </c:extLst>
        </c:ser>
        <c:ser>
          <c:idx val="1"/>
          <c:order val="1"/>
          <c:tx>
            <c:strRef>
              <c:f>grafice!$A$37</c:f>
              <c:strCache>
                <c:ptCount val="1"/>
                <c:pt idx="0">
                  <c:v>2021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grafice!$B$34:$M$35</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grafice!$B$37:$M$37</c:f>
              <c:numCache>
                <c:formatCode>General</c:formatCode>
                <c:ptCount val="12"/>
                <c:pt idx="0">
                  <c:v>6303</c:v>
                </c:pt>
                <c:pt idx="1">
                  <c:v>6030</c:v>
                </c:pt>
                <c:pt idx="2">
                  <c:v>6023</c:v>
                </c:pt>
                <c:pt idx="3">
                  <c:v>5577</c:v>
                </c:pt>
                <c:pt idx="4">
                  <c:v>5379</c:v>
                </c:pt>
                <c:pt idx="5">
                  <c:v>5147</c:v>
                </c:pt>
                <c:pt idx="6">
                  <c:v>5050</c:v>
                </c:pt>
                <c:pt idx="7">
                  <c:v>4956</c:v>
                </c:pt>
                <c:pt idx="8">
                  <c:v>4665</c:v>
                </c:pt>
                <c:pt idx="9">
                  <c:v>4545</c:v>
                </c:pt>
                <c:pt idx="10">
                  <c:v>4370</c:v>
                </c:pt>
                <c:pt idx="11">
                  <c:v>4639</c:v>
                </c:pt>
              </c:numCache>
            </c:numRef>
          </c:val>
          <c:smooth val="0"/>
          <c:extLst>
            <c:ext xmlns:c16="http://schemas.microsoft.com/office/drawing/2014/chart" uri="{C3380CC4-5D6E-409C-BE32-E72D297353CC}">
              <c16:uniqueId val="{00000001-FB5F-4728-9210-5EDD9F2AA43E}"/>
            </c:ext>
          </c:extLst>
        </c:ser>
        <c:ser>
          <c:idx val="2"/>
          <c:order val="2"/>
          <c:tx>
            <c:strRef>
              <c:f>grafice!$A$38</c:f>
              <c:strCache>
                <c:ptCount val="1"/>
                <c:pt idx="0">
                  <c:v>2022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grafice!$B$34:$M$35</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grafice!$B$38:$M$38</c:f>
              <c:numCache>
                <c:formatCode>General</c:formatCode>
                <c:ptCount val="12"/>
                <c:pt idx="0">
                  <c:v>4842</c:v>
                </c:pt>
                <c:pt idx="1">
                  <c:v>4721</c:v>
                </c:pt>
                <c:pt idx="2">
                  <c:v>4633</c:v>
                </c:pt>
                <c:pt idx="3">
                  <c:v>4552</c:v>
                </c:pt>
                <c:pt idx="4">
                  <c:v>4436</c:v>
                </c:pt>
                <c:pt idx="5">
                  <c:v>4551</c:v>
                </c:pt>
                <c:pt idx="6">
                  <c:v>4501</c:v>
                </c:pt>
                <c:pt idx="7">
                  <c:v>4605</c:v>
                </c:pt>
                <c:pt idx="8">
                  <c:v>4693</c:v>
                </c:pt>
                <c:pt idx="9">
                  <c:v>5017</c:v>
                </c:pt>
                <c:pt idx="10">
                  <c:v>5249</c:v>
                </c:pt>
                <c:pt idx="11">
                  <c:v>5409</c:v>
                </c:pt>
              </c:numCache>
            </c:numRef>
          </c:val>
          <c:smooth val="0"/>
          <c:extLst>
            <c:ext xmlns:c16="http://schemas.microsoft.com/office/drawing/2014/chart" uri="{C3380CC4-5D6E-409C-BE32-E72D297353CC}">
              <c16:uniqueId val="{00000002-FB5F-4728-9210-5EDD9F2AA43E}"/>
            </c:ext>
          </c:extLst>
        </c:ser>
        <c:ser>
          <c:idx val="3"/>
          <c:order val="3"/>
          <c:tx>
            <c:strRef>
              <c:f>grafice!$A$39</c:f>
              <c:strCache>
                <c:ptCount val="1"/>
                <c:pt idx="0">
                  <c:v>2023</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grafice!$B$34:$M$35</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grafice!$B$39:$M$39</c:f>
              <c:numCache>
                <c:formatCode>General</c:formatCode>
                <c:ptCount val="12"/>
                <c:pt idx="0">
                  <c:v>5511</c:v>
                </c:pt>
                <c:pt idx="1">
                  <c:v>5319</c:v>
                </c:pt>
                <c:pt idx="2">
                  <c:v>5134</c:v>
                </c:pt>
                <c:pt idx="3">
                  <c:v>4878</c:v>
                </c:pt>
                <c:pt idx="4">
                  <c:v>4641</c:v>
                </c:pt>
                <c:pt idx="5">
                  <c:v>4712</c:v>
                </c:pt>
                <c:pt idx="6">
                  <c:v>4516</c:v>
                </c:pt>
                <c:pt idx="7">
                  <c:v>4651</c:v>
                </c:pt>
                <c:pt idx="8">
                  <c:v>4574</c:v>
                </c:pt>
                <c:pt idx="9">
                  <c:v>4746</c:v>
                </c:pt>
                <c:pt idx="10">
                  <c:v>4905</c:v>
                </c:pt>
                <c:pt idx="11">
                  <c:v>5101</c:v>
                </c:pt>
              </c:numCache>
            </c:numRef>
          </c:val>
          <c:smooth val="0"/>
          <c:extLst>
            <c:ext xmlns:c16="http://schemas.microsoft.com/office/drawing/2014/chart" uri="{C3380CC4-5D6E-409C-BE32-E72D297353CC}">
              <c16:uniqueId val="{00000003-FB5F-4728-9210-5EDD9F2AA43E}"/>
            </c:ext>
          </c:extLst>
        </c:ser>
        <c:ser>
          <c:idx val="4"/>
          <c:order val="4"/>
          <c:tx>
            <c:strRef>
              <c:f>grafice!$A$40</c:f>
              <c:strCache>
                <c:ptCount val="1"/>
                <c:pt idx="0">
                  <c:v>2024</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grafice!$B$34:$M$35</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grafice!$B$40:$M$40</c:f>
              <c:numCache>
                <c:formatCode>General</c:formatCode>
                <c:ptCount val="12"/>
                <c:pt idx="0">
                  <c:v>5246</c:v>
                </c:pt>
                <c:pt idx="1">
                  <c:v>5477</c:v>
                </c:pt>
                <c:pt idx="2">
                  <c:v>5653</c:v>
                </c:pt>
                <c:pt idx="3">
                  <c:v>5571</c:v>
                </c:pt>
                <c:pt idx="4">
                  <c:v>5534</c:v>
                </c:pt>
                <c:pt idx="5">
                  <c:v>5397</c:v>
                </c:pt>
                <c:pt idx="6">
                  <c:v>5516</c:v>
                </c:pt>
                <c:pt idx="7">
                  <c:v>5561</c:v>
                </c:pt>
                <c:pt idx="8">
                  <c:v>5735</c:v>
                </c:pt>
                <c:pt idx="9">
                  <c:v>6076</c:v>
                </c:pt>
                <c:pt idx="10">
                  <c:v>6385</c:v>
                </c:pt>
                <c:pt idx="11">
                  <c:v>6551</c:v>
                </c:pt>
              </c:numCache>
            </c:numRef>
          </c:val>
          <c:smooth val="0"/>
          <c:extLst>
            <c:ext xmlns:c16="http://schemas.microsoft.com/office/drawing/2014/chart" uri="{C3380CC4-5D6E-409C-BE32-E72D297353CC}">
              <c16:uniqueId val="{00000004-FB5F-4728-9210-5EDD9F2AA43E}"/>
            </c:ext>
          </c:extLst>
        </c:ser>
        <c:ser>
          <c:idx val="5"/>
          <c:order val="5"/>
          <c:tx>
            <c:strRef>
              <c:f>grafice!$A$41</c:f>
              <c:strCache>
                <c:ptCount val="1"/>
                <c:pt idx="0">
                  <c:v>2025</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grafice!$B$34:$M$35</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grafice!$B$41:$M$41</c:f>
              <c:numCache>
                <c:formatCode>General</c:formatCode>
                <c:ptCount val="12"/>
                <c:pt idx="0">
                  <c:v>6811</c:v>
                </c:pt>
                <c:pt idx="1">
                  <c:v>6692</c:v>
                </c:pt>
                <c:pt idx="2">
                  <c:v>6424</c:v>
                </c:pt>
              </c:numCache>
            </c:numRef>
          </c:val>
          <c:smooth val="0"/>
          <c:extLst>
            <c:ext xmlns:c16="http://schemas.microsoft.com/office/drawing/2014/chart" uri="{C3380CC4-5D6E-409C-BE32-E72D297353CC}">
              <c16:uniqueId val="{00000005-FB5F-4728-9210-5EDD9F2AA43E}"/>
            </c:ext>
          </c:extLst>
        </c:ser>
        <c:dLbls>
          <c:showLegendKey val="0"/>
          <c:showVal val="0"/>
          <c:showCatName val="0"/>
          <c:showSerName val="0"/>
          <c:showPercent val="0"/>
          <c:showBubbleSize val="0"/>
        </c:dLbls>
        <c:marker val="1"/>
        <c:smooth val="0"/>
        <c:axId val="26262720"/>
        <c:axId val="26263680"/>
      </c:lineChart>
      <c:catAx>
        <c:axId val="2626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26263680"/>
        <c:crosses val="autoZero"/>
        <c:auto val="1"/>
        <c:lblAlgn val="ctr"/>
        <c:lblOffset val="100"/>
        <c:noMultiLvlLbl val="0"/>
      </c:catAx>
      <c:valAx>
        <c:axId val="26263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26262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Evolutia ratei somajului inregistrat in perioada 2020-2025 </a:t>
            </a:r>
            <a:endParaRPr lang="ro-R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o-RO"/>
        </a:p>
      </c:txPr>
    </c:title>
    <c:autoTitleDeleted val="0"/>
    <c:plotArea>
      <c:layout/>
      <c:lineChart>
        <c:grouping val="standard"/>
        <c:varyColors val="0"/>
        <c:ser>
          <c:idx val="0"/>
          <c:order val="0"/>
          <c:tx>
            <c:strRef>
              <c:f>grafice!$A$60</c:f>
              <c:strCache>
                <c:ptCount val="1"/>
                <c:pt idx="0">
                  <c:v>2020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grafice!$B$59:$M$59</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grafice!$B$60:$M$60</c:f>
              <c:numCache>
                <c:formatCode>General</c:formatCode>
                <c:ptCount val="12"/>
                <c:pt idx="0">
                  <c:v>3.79</c:v>
                </c:pt>
                <c:pt idx="1">
                  <c:v>3.69</c:v>
                </c:pt>
                <c:pt idx="2">
                  <c:v>3.59</c:v>
                </c:pt>
                <c:pt idx="3">
                  <c:v>3.77</c:v>
                </c:pt>
                <c:pt idx="4">
                  <c:v>3.75</c:v>
                </c:pt>
                <c:pt idx="5">
                  <c:v>3.89</c:v>
                </c:pt>
                <c:pt idx="6">
                  <c:v>4.25</c:v>
                </c:pt>
                <c:pt idx="7">
                  <c:v>4.47</c:v>
                </c:pt>
                <c:pt idx="8">
                  <c:v>4.09</c:v>
                </c:pt>
                <c:pt idx="9">
                  <c:v>4.53</c:v>
                </c:pt>
                <c:pt idx="10">
                  <c:v>4.82</c:v>
                </c:pt>
                <c:pt idx="11">
                  <c:v>4.57</c:v>
                </c:pt>
              </c:numCache>
            </c:numRef>
          </c:val>
          <c:smooth val="0"/>
          <c:extLst>
            <c:ext xmlns:c16="http://schemas.microsoft.com/office/drawing/2014/chart" uri="{C3380CC4-5D6E-409C-BE32-E72D297353CC}">
              <c16:uniqueId val="{00000000-2AC1-4D72-98FB-3C8F764A989E}"/>
            </c:ext>
          </c:extLst>
        </c:ser>
        <c:ser>
          <c:idx val="1"/>
          <c:order val="1"/>
          <c:tx>
            <c:strRef>
              <c:f>grafice!$A$61</c:f>
              <c:strCache>
                <c:ptCount val="1"/>
                <c:pt idx="0">
                  <c:v>2021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grafice!$B$59:$M$59</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grafice!$B$61:$M$61</c:f>
              <c:numCache>
                <c:formatCode>General</c:formatCode>
                <c:ptCount val="12"/>
                <c:pt idx="0">
                  <c:v>4.67</c:v>
                </c:pt>
                <c:pt idx="1">
                  <c:v>4.47</c:v>
                </c:pt>
                <c:pt idx="2">
                  <c:v>4.46</c:v>
                </c:pt>
                <c:pt idx="3">
                  <c:v>4.13</c:v>
                </c:pt>
                <c:pt idx="4">
                  <c:v>3.99</c:v>
                </c:pt>
                <c:pt idx="5">
                  <c:v>3.81</c:v>
                </c:pt>
                <c:pt idx="6">
                  <c:v>3.74</c:v>
                </c:pt>
                <c:pt idx="7">
                  <c:v>3.64</c:v>
                </c:pt>
                <c:pt idx="8">
                  <c:v>3.43</c:v>
                </c:pt>
                <c:pt idx="9">
                  <c:v>3.34</c:v>
                </c:pt>
                <c:pt idx="10">
                  <c:v>3.21</c:v>
                </c:pt>
                <c:pt idx="11">
                  <c:v>3.41</c:v>
                </c:pt>
              </c:numCache>
            </c:numRef>
          </c:val>
          <c:smooth val="0"/>
          <c:extLst>
            <c:ext xmlns:c16="http://schemas.microsoft.com/office/drawing/2014/chart" uri="{C3380CC4-5D6E-409C-BE32-E72D297353CC}">
              <c16:uniqueId val="{00000001-2AC1-4D72-98FB-3C8F764A989E}"/>
            </c:ext>
          </c:extLst>
        </c:ser>
        <c:ser>
          <c:idx val="2"/>
          <c:order val="2"/>
          <c:tx>
            <c:strRef>
              <c:f>grafice!$A$62</c:f>
              <c:strCache>
                <c:ptCount val="1"/>
                <c:pt idx="0">
                  <c:v>2022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grafice!$B$59:$M$59</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grafice!$B$62:$M$62</c:f>
              <c:numCache>
                <c:formatCode>General</c:formatCode>
                <c:ptCount val="12"/>
                <c:pt idx="0">
                  <c:v>4.0999999999999996</c:v>
                </c:pt>
                <c:pt idx="1">
                  <c:v>4</c:v>
                </c:pt>
                <c:pt idx="2">
                  <c:v>3.91</c:v>
                </c:pt>
                <c:pt idx="3">
                  <c:v>3.84</c:v>
                </c:pt>
                <c:pt idx="4">
                  <c:v>3.74</c:v>
                </c:pt>
                <c:pt idx="5">
                  <c:v>3.84</c:v>
                </c:pt>
                <c:pt idx="6">
                  <c:v>3.8</c:v>
                </c:pt>
                <c:pt idx="7">
                  <c:v>3.89</c:v>
                </c:pt>
                <c:pt idx="8">
                  <c:v>3.96</c:v>
                </c:pt>
                <c:pt idx="9">
                  <c:v>4.2300000000000004</c:v>
                </c:pt>
                <c:pt idx="10">
                  <c:v>4.43</c:v>
                </c:pt>
                <c:pt idx="11">
                  <c:v>4.5599999999999996</c:v>
                </c:pt>
              </c:numCache>
            </c:numRef>
          </c:val>
          <c:smooth val="0"/>
          <c:extLst>
            <c:ext xmlns:c16="http://schemas.microsoft.com/office/drawing/2014/chart" uri="{C3380CC4-5D6E-409C-BE32-E72D297353CC}">
              <c16:uniqueId val="{00000002-2AC1-4D72-98FB-3C8F764A989E}"/>
            </c:ext>
          </c:extLst>
        </c:ser>
        <c:ser>
          <c:idx val="3"/>
          <c:order val="3"/>
          <c:tx>
            <c:strRef>
              <c:f>grafice!$A$63</c:f>
              <c:strCache>
                <c:ptCount val="1"/>
                <c:pt idx="0">
                  <c:v>2023</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grafice!$B$59:$M$59</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grafice!$B$63:$M$63</c:f>
              <c:numCache>
                <c:formatCode>General</c:formatCode>
                <c:ptCount val="12"/>
                <c:pt idx="0">
                  <c:v>4.6500000000000004</c:v>
                </c:pt>
                <c:pt idx="1">
                  <c:v>4.49</c:v>
                </c:pt>
                <c:pt idx="2">
                  <c:v>4.33</c:v>
                </c:pt>
                <c:pt idx="3">
                  <c:v>4.12</c:v>
                </c:pt>
                <c:pt idx="4">
                  <c:v>3.92</c:v>
                </c:pt>
                <c:pt idx="5">
                  <c:v>3.98</c:v>
                </c:pt>
                <c:pt idx="6">
                  <c:v>3.81</c:v>
                </c:pt>
                <c:pt idx="7">
                  <c:v>3.92</c:v>
                </c:pt>
                <c:pt idx="8">
                  <c:v>3.86</c:v>
                </c:pt>
                <c:pt idx="9">
                  <c:v>4.01</c:v>
                </c:pt>
                <c:pt idx="10">
                  <c:v>4.1399999999999997</c:v>
                </c:pt>
                <c:pt idx="11">
                  <c:v>4.3</c:v>
                </c:pt>
              </c:numCache>
            </c:numRef>
          </c:val>
          <c:smooth val="0"/>
          <c:extLst>
            <c:ext xmlns:c16="http://schemas.microsoft.com/office/drawing/2014/chart" uri="{C3380CC4-5D6E-409C-BE32-E72D297353CC}">
              <c16:uniqueId val="{00000003-2AC1-4D72-98FB-3C8F764A989E}"/>
            </c:ext>
          </c:extLst>
        </c:ser>
        <c:ser>
          <c:idx val="4"/>
          <c:order val="4"/>
          <c:tx>
            <c:strRef>
              <c:f>grafice!$A$64</c:f>
              <c:strCache>
                <c:ptCount val="1"/>
                <c:pt idx="0">
                  <c:v>2024</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grafice!$B$59:$M$59</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grafice!$B$64:$M$64</c:f>
              <c:numCache>
                <c:formatCode>General</c:formatCode>
                <c:ptCount val="12"/>
                <c:pt idx="0">
                  <c:v>4.37</c:v>
                </c:pt>
                <c:pt idx="1">
                  <c:v>4.5599999999999996</c:v>
                </c:pt>
                <c:pt idx="2">
                  <c:v>4.71</c:v>
                </c:pt>
                <c:pt idx="3">
                  <c:v>4.6399999999999997</c:v>
                </c:pt>
                <c:pt idx="4">
                  <c:v>4.6100000000000003</c:v>
                </c:pt>
                <c:pt idx="5">
                  <c:v>4.49</c:v>
                </c:pt>
                <c:pt idx="6">
                  <c:v>4.59</c:v>
                </c:pt>
                <c:pt idx="7">
                  <c:v>4.63</c:v>
                </c:pt>
                <c:pt idx="8">
                  <c:v>4.78</c:v>
                </c:pt>
                <c:pt idx="9">
                  <c:v>5.0599999999999996</c:v>
                </c:pt>
                <c:pt idx="10">
                  <c:v>5.32</c:v>
                </c:pt>
                <c:pt idx="11">
                  <c:v>5.45</c:v>
                </c:pt>
              </c:numCache>
            </c:numRef>
          </c:val>
          <c:smooth val="0"/>
          <c:extLst>
            <c:ext xmlns:c16="http://schemas.microsoft.com/office/drawing/2014/chart" uri="{C3380CC4-5D6E-409C-BE32-E72D297353CC}">
              <c16:uniqueId val="{00000004-2AC1-4D72-98FB-3C8F764A989E}"/>
            </c:ext>
          </c:extLst>
        </c:ser>
        <c:ser>
          <c:idx val="5"/>
          <c:order val="5"/>
          <c:tx>
            <c:strRef>
              <c:f>grafice!$A$65</c:f>
              <c:strCache>
                <c:ptCount val="1"/>
                <c:pt idx="0">
                  <c:v>2025</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grafice!$B$59:$M$59</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grafice!$B$65:$M$65</c:f>
              <c:numCache>
                <c:formatCode>General</c:formatCode>
                <c:ptCount val="12"/>
                <c:pt idx="0">
                  <c:v>5.67</c:v>
                </c:pt>
                <c:pt idx="1">
                  <c:v>5.57</c:v>
                </c:pt>
                <c:pt idx="2">
                  <c:v>5.35</c:v>
                </c:pt>
              </c:numCache>
            </c:numRef>
          </c:val>
          <c:smooth val="0"/>
          <c:extLst>
            <c:ext xmlns:c16="http://schemas.microsoft.com/office/drawing/2014/chart" uri="{C3380CC4-5D6E-409C-BE32-E72D297353CC}">
              <c16:uniqueId val="{00000005-2AC1-4D72-98FB-3C8F764A989E}"/>
            </c:ext>
          </c:extLst>
        </c:ser>
        <c:dLbls>
          <c:showLegendKey val="0"/>
          <c:showVal val="0"/>
          <c:showCatName val="0"/>
          <c:showSerName val="0"/>
          <c:showPercent val="0"/>
          <c:showBubbleSize val="0"/>
        </c:dLbls>
        <c:marker val="1"/>
        <c:smooth val="0"/>
        <c:axId val="26320320"/>
        <c:axId val="26319360"/>
      </c:lineChart>
      <c:catAx>
        <c:axId val="26320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26319360"/>
        <c:crosses val="autoZero"/>
        <c:auto val="1"/>
        <c:lblAlgn val="ctr"/>
        <c:lblOffset val="100"/>
        <c:noMultiLvlLbl val="0"/>
      </c:catAx>
      <c:valAx>
        <c:axId val="26319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26320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sz="1000">
                <a:effectLst/>
              </a:rPr>
              <a:t>Distribuția șomerilor pe grupe de vârstă la 31.</a:t>
            </a:r>
            <a:r>
              <a:rPr lang="en-US" sz="1000">
                <a:effectLst/>
              </a:rPr>
              <a:t>0</a:t>
            </a:r>
            <a:r>
              <a:rPr lang="ro-RO" sz="1000">
                <a:effectLst/>
              </a:rPr>
              <a:t>3.202</a:t>
            </a:r>
            <a:r>
              <a:rPr lang="en-US" sz="1000">
                <a:effectLst/>
              </a:rPr>
              <a:t>5</a:t>
            </a:r>
            <a:endParaRPr lang="ro-RO" sz="10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o-RO"/>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E24-42AD-8EC9-7A3431A9BAF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E24-42AD-8EC9-7A3431A9BAF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E24-42AD-8EC9-7A3431A9BAF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E24-42AD-8EC9-7A3431A9BAF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E24-42AD-8EC9-7A3431A9BAF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E24-42AD-8EC9-7A3431A9BAF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grafice!$A$3:$A$8</c:f>
              <c:strCache>
                <c:ptCount val="6"/>
                <c:pt idx="0">
                  <c:v>sub 25 de ani</c:v>
                </c:pt>
                <c:pt idx="1">
                  <c:v>între 25 și 29 ani</c:v>
                </c:pt>
                <c:pt idx="2">
                  <c:v>între 30 și 39 ani</c:v>
                </c:pt>
                <c:pt idx="3">
                  <c:v>între 40 și 49 ani</c:v>
                </c:pt>
                <c:pt idx="4">
                  <c:v>între 50 și 55 ani</c:v>
                </c:pt>
                <c:pt idx="5">
                  <c:v>peste 55 ani</c:v>
                </c:pt>
              </c:strCache>
            </c:strRef>
          </c:cat>
          <c:val>
            <c:numRef>
              <c:f>grafice!$B$3:$B$8</c:f>
              <c:numCache>
                <c:formatCode>General</c:formatCode>
                <c:ptCount val="6"/>
                <c:pt idx="0">
                  <c:v>979</c:v>
                </c:pt>
                <c:pt idx="1">
                  <c:v>489</c:v>
                </c:pt>
                <c:pt idx="2">
                  <c:v>1331</c:v>
                </c:pt>
                <c:pt idx="3">
                  <c:v>1545</c:v>
                </c:pt>
                <c:pt idx="4">
                  <c:v>1028</c:v>
                </c:pt>
                <c:pt idx="5">
                  <c:v>1052</c:v>
                </c:pt>
              </c:numCache>
            </c:numRef>
          </c:val>
          <c:extLst>
            <c:ext xmlns:c16="http://schemas.microsoft.com/office/drawing/2014/chart" uri="{C3380CC4-5D6E-409C-BE32-E72D297353CC}">
              <c16:uniqueId val="{0000000C-EE24-42AD-8EC9-7A3431A9BAF0}"/>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CABA8-171A-4754-B5DF-9C468404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CRFPPP - ian 2025</Template>
  <TotalTime>27</TotalTime>
  <Pages>3</Pages>
  <Words>487</Words>
  <Characters>2778</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3259</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Manu</dc:creator>
  <cp:lastModifiedBy>Simona Manu</cp:lastModifiedBy>
  <cp:revision>5</cp:revision>
  <cp:lastPrinted>2021-12-02T07:29:00Z</cp:lastPrinted>
  <dcterms:created xsi:type="dcterms:W3CDTF">2025-04-09T11:05:00Z</dcterms:created>
  <dcterms:modified xsi:type="dcterms:W3CDTF">2025-04-15T07:32:00Z</dcterms:modified>
</cp:coreProperties>
</file>