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DCCE8" w14:textId="4C8BE6C6" w:rsidR="003A6AA8" w:rsidRPr="007115F5" w:rsidRDefault="00672FDB" w:rsidP="003A6AA8">
      <w:pPr>
        <w:tabs>
          <w:tab w:val="left" w:pos="-360"/>
        </w:tabs>
        <w:ind w:left="0"/>
        <w:rPr>
          <w:rFonts w:eastAsia="Calibri"/>
          <w:color w:val="000000" w:themeColor="text1"/>
          <w:kern w:val="2"/>
          <w:lang w:val="ro-RO"/>
          <w14:ligatures w14:val="standardContextual"/>
        </w:rPr>
      </w:pPr>
      <w:r w:rsidRPr="00672FDB">
        <w:rPr>
          <w:rFonts w:eastAsia="Calibri"/>
          <w:color w:val="000000" w:themeColor="text1"/>
          <w:kern w:val="2"/>
          <w:lang w:val="ro-RO"/>
          <w14:ligatures w14:val="standardContextual"/>
        </w:rPr>
        <w:t xml:space="preserve">  </w:t>
      </w:r>
      <w:r>
        <w:rPr>
          <w:rFonts w:eastAsia="Calibri"/>
          <w:color w:val="000000" w:themeColor="text1"/>
          <w:kern w:val="2"/>
          <w:lang w:val="ro-RO"/>
          <w14:ligatures w14:val="standardContextual"/>
        </w:rPr>
        <w:tab/>
      </w:r>
      <w:r w:rsidR="00F65645">
        <w:rPr>
          <w:rFonts w:eastAsia="Calibri"/>
          <w:color w:val="000000" w:themeColor="text1"/>
          <w:kern w:val="2"/>
          <w:lang w:val="ro-RO"/>
          <w14:ligatures w14:val="standardContextual"/>
        </w:rPr>
        <w:tab/>
      </w:r>
      <w:r w:rsidR="00F65645">
        <w:rPr>
          <w:rFonts w:eastAsia="Calibri"/>
          <w:color w:val="000000" w:themeColor="text1"/>
          <w:kern w:val="2"/>
          <w:lang w:val="ro-RO"/>
          <w14:ligatures w14:val="standardContextual"/>
        </w:rPr>
        <w:tab/>
      </w:r>
      <w:r w:rsidR="00F65645">
        <w:rPr>
          <w:rFonts w:eastAsia="Calibri"/>
          <w:color w:val="000000" w:themeColor="text1"/>
          <w:kern w:val="2"/>
          <w:lang w:val="ro-RO"/>
          <w14:ligatures w14:val="standardContextual"/>
        </w:rPr>
        <w:tab/>
      </w:r>
      <w:r w:rsidR="00F65645">
        <w:rPr>
          <w:rFonts w:eastAsia="Calibri"/>
          <w:color w:val="000000" w:themeColor="text1"/>
          <w:kern w:val="2"/>
          <w:lang w:val="ro-RO"/>
          <w14:ligatures w14:val="standardContextual"/>
        </w:rPr>
        <w:tab/>
      </w:r>
      <w:r w:rsidR="00F65645">
        <w:rPr>
          <w:rFonts w:eastAsia="Calibri"/>
          <w:color w:val="000000" w:themeColor="text1"/>
          <w:kern w:val="2"/>
          <w:lang w:val="ro-RO"/>
          <w14:ligatures w14:val="standardContextual"/>
        </w:rPr>
        <w:tab/>
      </w:r>
      <w:r w:rsidR="00F65645">
        <w:rPr>
          <w:rFonts w:eastAsia="Calibri"/>
          <w:color w:val="000000" w:themeColor="text1"/>
          <w:kern w:val="2"/>
          <w:lang w:val="ro-RO"/>
          <w14:ligatures w14:val="standardContextual"/>
        </w:rPr>
        <w:tab/>
      </w:r>
      <w:r w:rsidR="003A6AA8" w:rsidRPr="007115F5">
        <w:rPr>
          <w:rFonts w:eastAsia="Calibri"/>
          <w:color w:val="000000" w:themeColor="text1"/>
          <w:kern w:val="2"/>
          <w:lang w:val="ro-RO"/>
          <w14:ligatures w14:val="standardContextual"/>
        </w:rPr>
        <w:t>Anexa la</w:t>
      </w:r>
      <w:r w:rsidR="003A6AA8">
        <w:rPr>
          <w:rFonts w:eastAsia="Calibri"/>
          <w:color w:val="000000" w:themeColor="text1"/>
          <w:kern w:val="2"/>
          <w:lang w:val="ro-RO"/>
          <w14:ligatures w14:val="standardContextual"/>
        </w:rPr>
        <w:t xml:space="preserve"> decizia nr. </w:t>
      </w:r>
      <w:r w:rsidR="00423421">
        <w:rPr>
          <w:rFonts w:eastAsia="Calibri"/>
          <w:color w:val="000000" w:themeColor="text1"/>
          <w:kern w:val="2"/>
          <w:lang w:val="ro-RO"/>
          <w14:ligatures w14:val="standardContextual"/>
        </w:rPr>
        <w:t>152</w:t>
      </w:r>
      <w:r w:rsidR="003A6AA8">
        <w:rPr>
          <w:rFonts w:eastAsia="Calibri"/>
          <w:color w:val="000000" w:themeColor="text1"/>
          <w:kern w:val="2"/>
          <w:lang w:val="ro-RO"/>
          <w14:ligatures w14:val="standardContextual"/>
        </w:rPr>
        <w:t>/2</w:t>
      </w:r>
      <w:r w:rsidR="00423421">
        <w:rPr>
          <w:rFonts w:eastAsia="Calibri"/>
          <w:color w:val="000000" w:themeColor="text1"/>
          <w:kern w:val="2"/>
          <w:lang w:val="ro-RO"/>
          <w14:ligatures w14:val="standardContextual"/>
        </w:rPr>
        <w:t>7</w:t>
      </w:r>
      <w:r w:rsidR="003A6AA8">
        <w:rPr>
          <w:rFonts w:eastAsia="Calibri"/>
          <w:color w:val="000000" w:themeColor="text1"/>
          <w:kern w:val="2"/>
          <w:lang w:val="ro-RO"/>
          <w14:ligatures w14:val="standardContextual"/>
        </w:rPr>
        <w:t>.0</w:t>
      </w:r>
      <w:r w:rsidR="00423421">
        <w:rPr>
          <w:rFonts w:eastAsia="Calibri"/>
          <w:color w:val="000000" w:themeColor="text1"/>
          <w:kern w:val="2"/>
          <w:lang w:val="ro-RO"/>
          <w14:ligatures w14:val="standardContextual"/>
        </w:rPr>
        <w:t>8</w:t>
      </w:r>
      <w:r w:rsidR="003A6AA8">
        <w:rPr>
          <w:rFonts w:eastAsia="Calibri"/>
          <w:color w:val="000000" w:themeColor="text1"/>
          <w:kern w:val="2"/>
          <w:lang w:val="ro-RO"/>
          <w14:ligatures w14:val="standardContextual"/>
        </w:rPr>
        <w:t>.2025</w:t>
      </w:r>
      <w:r w:rsidR="00F65645">
        <w:rPr>
          <w:rFonts w:eastAsia="Calibri"/>
          <w:color w:val="000000" w:themeColor="text1"/>
          <w:kern w:val="2"/>
          <w:lang w:val="ro-RO"/>
          <w14:ligatures w14:val="standardContextual"/>
        </w:rPr>
        <w:tab/>
      </w:r>
    </w:p>
    <w:p w14:paraId="2323AC93" w14:textId="776184C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b/>
      </w:r>
      <w:r w:rsidRPr="007115F5">
        <w:rPr>
          <w:rFonts w:eastAsia="Calibri"/>
          <w:color w:val="000000" w:themeColor="text1"/>
          <w:kern w:val="2"/>
          <w:lang w:val="ro-RO"/>
          <w14:ligatures w14:val="standardContextual"/>
        </w:rPr>
        <w:tab/>
      </w:r>
      <w:r w:rsidRPr="007115F5">
        <w:rPr>
          <w:rFonts w:eastAsia="Calibri"/>
          <w:color w:val="000000" w:themeColor="text1"/>
          <w:kern w:val="2"/>
          <w:lang w:val="ro-RO"/>
          <w14:ligatures w14:val="standardContextual"/>
        </w:rPr>
        <w:tab/>
      </w:r>
      <w:r w:rsidRPr="007115F5">
        <w:rPr>
          <w:rFonts w:eastAsia="Calibri"/>
          <w:color w:val="000000" w:themeColor="text1"/>
          <w:kern w:val="2"/>
          <w:lang w:val="ro-RO"/>
          <w14:ligatures w14:val="standardContextual"/>
        </w:rPr>
        <w:tab/>
      </w:r>
      <w:r w:rsidRPr="007115F5">
        <w:rPr>
          <w:rFonts w:eastAsia="Calibri"/>
          <w:color w:val="000000" w:themeColor="text1"/>
          <w:kern w:val="2"/>
          <w:lang w:val="ro-RO"/>
          <w14:ligatures w14:val="standardContextual"/>
        </w:rPr>
        <w:tab/>
      </w:r>
      <w:r w:rsidRPr="007115F5">
        <w:rPr>
          <w:rFonts w:eastAsia="Calibri"/>
          <w:color w:val="000000" w:themeColor="text1"/>
          <w:kern w:val="2"/>
          <w:lang w:val="ro-RO"/>
          <w14:ligatures w14:val="standardContextual"/>
        </w:rPr>
        <w:tab/>
      </w:r>
      <w:r w:rsidRPr="007115F5">
        <w:rPr>
          <w:rFonts w:eastAsia="Calibri"/>
          <w:color w:val="000000" w:themeColor="text1"/>
          <w:kern w:val="2"/>
          <w:lang w:val="ro-RO"/>
          <w14:ligatures w14:val="standardContextual"/>
        </w:rPr>
        <w:tab/>
      </w:r>
    </w:p>
    <w:p w14:paraId="0FA35EEE" w14:textId="77777777" w:rsidR="00A77914" w:rsidRDefault="00A77914" w:rsidP="00F65645">
      <w:pPr>
        <w:tabs>
          <w:tab w:val="left" w:pos="-360"/>
        </w:tabs>
        <w:ind w:left="0"/>
        <w:jc w:val="center"/>
        <w:rPr>
          <w:rFonts w:eastAsia="Calibri"/>
          <w:b/>
          <w:bCs/>
          <w:color w:val="000000" w:themeColor="text1"/>
          <w:kern w:val="2"/>
          <w:lang w:val="ro-RO"/>
          <w14:ligatures w14:val="standardContextual"/>
        </w:rPr>
      </w:pPr>
    </w:p>
    <w:p w14:paraId="2AA03D66" w14:textId="546DB41B" w:rsidR="007115F5" w:rsidRPr="00C37D89" w:rsidRDefault="007115F5" w:rsidP="00F65645">
      <w:pPr>
        <w:tabs>
          <w:tab w:val="left" w:pos="-360"/>
        </w:tabs>
        <w:ind w:left="0"/>
        <w:jc w:val="center"/>
        <w:rPr>
          <w:rFonts w:eastAsia="Calibri"/>
          <w:b/>
          <w:bCs/>
          <w:color w:val="000000" w:themeColor="text1"/>
          <w:kern w:val="2"/>
          <w:lang w:val="ro-RO"/>
          <w14:ligatures w14:val="standardContextual"/>
        </w:rPr>
      </w:pPr>
      <w:r w:rsidRPr="00C37D89">
        <w:rPr>
          <w:rFonts w:eastAsia="Calibri"/>
          <w:b/>
          <w:bCs/>
          <w:color w:val="000000" w:themeColor="text1"/>
          <w:kern w:val="2"/>
          <w:lang w:val="ro-RO"/>
          <w14:ligatures w14:val="standardContextual"/>
        </w:rPr>
        <w:t>REGULAMENT-CADRU</w:t>
      </w:r>
    </w:p>
    <w:p w14:paraId="60603C28" w14:textId="54EA462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 xml:space="preserve">Privind ocuparea unei funcții publice vacante din cadrul Agenției Județene pentru Ocuparea Forței de Muncă </w:t>
      </w:r>
      <w:r w:rsidR="003E57DA">
        <w:rPr>
          <w:rFonts w:eastAsia="Calibri"/>
          <w:b/>
          <w:bCs/>
          <w:color w:val="000000" w:themeColor="text1"/>
          <w:kern w:val="2"/>
          <w:lang w:val="ro-RO"/>
          <w14:ligatures w14:val="standardContextual"/>
        </w:rPr>
        <w:t>Gorj</w:t>
      </w:r>
      <w:r w:rsidRPr="00A77914">
        <w:rPr>
          <w:rFonts w:eastAsia="Calibri"/>
          <w:b/>
          <w:bCs/>
          <w:color w:val="000000" w:themeColor="text1"/>
          <w:kern w:val="2"/>
          <w:lang w:val="ro-RO"/>
          <w14:ligatures w14:val="standardContextual"/>
        </w:rPr>
        <w:t>, prin transfer, la cerere sau în interesul serviciului</w:t>
      </w:r>
    </w:p>
    <w:p w14:paraId="66F0BD05"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p>
    <w:p w14:paraId="3C9057A3"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Capitolul I</w:t>
      </w:r>
    </w:p>
    <w:p w14:paraId="087ED47F"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Organizarea procedurii de selecție în vederea ocupării posturilor vacante prin transfer</w:t>
      </w:r>
    </w:p>
    <w:p w14:paraId="04AABC2B"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Secțiunea 1</w:t>
      </w:r>
    </w:p>
    <w:p w14:paraId="250181A8"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Dispoziții generale</w:t>
      </w:r>
    </w:p>
    <w:p w14:paraId="45D7E12C" w14:textId="14A60A19"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 xml:space="preserve">Art.1 </w:t>
      </w:r>
      <w:r w:rsidRPr="007115F5">
        <w:rPr>
          <w:rFonts w:eastAsia="Calibri"/>
          <w:color w:val="000000" w:themeColor="text1"/>
          <w:kern w:val="2"/>
          <w:lang w:val="ro-RO"/>
          <w14:ligatures w14:val="standardContextual"/>
        </w:rPr>
        <w:t xml:space="preserve">– Prezentul Regulament-cadru stabilește procedura de selecție în cazul transferului, respectiv modalitatea de verificare a condițiilor de realizare a transferului în cadrul Agenției Județene pentru Ocuparea Forței de Muncă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w:t>
      </w:r>
    </w:p>
    <w:p w14:paraId="05E63858" w14:textId="237C9B7A"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Art.2</w:t>
      </w:r>
      <w:r w:rsidRPr="007115F5">
        <w:rPr>
          <w:rFonts w:eastAsia="Calibri"/>
          <w:color w:val="000000" w:themeColor="text1"/>
          <w:kern w:val="2"/>
          <w:lang w:val="ro-RO"/>
          <w14:ligatures w14:val="standardContextual"/>
        </w:rPr>
        <w:t xml:space="preserve"> – Ocuparea prin transfer a unui post corespunzător unei funcții publice vacante se poate face în limita posturilor vacante existente în statul de funcții al AJOFM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w:t>
      </w:r>
    </w:p>
    <w:p w14:paraId="6C0C35E6"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Art.3</w:t>
      </w:r>
      <w:r w:rsidRPr="007115F5">
        <w:rPr>
          <w:rFonts w:eastAsia="Calibri"/>
          <w:color w:val="000000" w:themeColor="text1"/>
          <w:kern w:val="2"/>
          <w:lang w:val="ro-RO"/>
          <w14:ligatures w14:val="standardContextual"/>
        </w:rPr>
        <w:t xml:space="preserve"> – (1) Transferul se poate face pe o funcție publică vacantă de același nivel, cu respectarea categoriei, clasei și gradului profesional al funcționarului public, sau într-o funcție publică vacantă de nivel inferior.</w:t>
      </w:r>
    </w:p>
    <w:p w14:paraId="2B7C9FA8"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(2) pentru funcționarii publici de execuție prin ”funcție publică de nivel inferior” se înțelege orice funcție publică cu grad profesional mai mic decât gradul profesional al funcției publice deținute sau de clasă de nivel inferior.</w:t>
      </w:r>
    </w:p>
    <w:p w14:paraId="6705C778"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(3) Pentru funcționarii publici de conducere prin ”funcție publică de nivel inferior” se înțelege o funcție publică de conducere situată ierarhic la un nivel inferior funcției publice deținute, precum și orice  funcție publică de execuție.</w:t>
      </w:r>
    </w:p>
    <w:p w14:paraId="63C245D2"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Art.4</w:t>
      </w:r>
      <w:r w:rsidRPr="007115F5">
        <w:rPr>
          <w:rFonts w:eastAsia="Calibri"/>
          <w:color w:val="000000" w:themeColor="text1"/>
          <w:kern w:val="2"/>
          <w:lang w:val="ro-RO"/>
          <w14:ligatures w14:val="standardContextual"/>
        </w:rPr>
        <w:t xml:space="preserve"> – (1) Funcționarul public trebuie să îndeplinească condițiile pentru ocuparea funcției publice în care urmează să fie transferat.</w:t>
      </w:r>
    </w:p>
    <w:p w14:paraId="2EFD7377"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(2) Pot ocupa prin transfer funcții publice vacante, funcționarii publici numiți pe perioadă nedeterminată.</w:t>
      </w:r>
    </w:p>
    <w:p w14:paraId="4C435E77" w14:textId="1038172C"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Art.5</w:t>
      </w:r>
      <w:r w:rsidRPr="007115F5">
        <w:rPr>
          <w:rFonts w:eastAsia="Calibri"/>
          <w:color w:val="000000" w:themeColor="text1"/>
          <w:kern w:val="2"/>
          <w:lang w:val="ro-RO"/>
          <w14:ligatures w14:val="standardContextual"/>
        </w:rPr>
        <w:t xml:space="preserve"> – (1) Transferul se face la solicitarea funcționarului public și cu aprobarea directorului executiv al AJOFM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 cu aplicarea prevederilor art.13 alin(2), art.15 și art. 16.</w:t>
      </w:r>
    </w:p>
    <w:p w14:paraId="4F8BEAF3"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(2) Transferul nu se aplică în cazul funcționarilor publici numiți într-o funcție publică de grad profesional debutant.</w:t>
      </w:r>
    </w:p>
    <w:p w14:paraId="3EED2824" w14:textId="1B6D585F"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Art.6</w:t>
      </w:r>
      <w:r w:rsidRPr="007115F5">
        <w:rPr>
          <w:rFonts w:eastAsia="Calibri"/>
          <w:color w:val="000000" w:themeColor="text1"/>
          <w:kern w:val="2"/>
          <w:lang w:val="ro-RO"/>
          <w14:ligatures w14:val="standardContextual"/>
        </w:rPr>
        <w:t xml:space="preserve"> – (1) Conducătorii structurilor funcționale</w:t>
      </w:r>
      <w:r w:rsidR="00053B07">
        <w:rPr>
          <w:rFonts w:eastAsia="Calibri"/>
          <w:color w:val="000000" w:themeColor="text1"/>
          <w:kern w:val="2"/>
          <w:lang w:val="ro-RO"/>
          <w14:ligatures w14:val="standardContextual"/>
        </w:rPr>
        <w:t xml:space="preserve"> ( în cazul în care există)</w:t>
      </w:r>
      <w:r w:rsidRPr="007115F5">
        <w:rPr>
          <w:rFonts w:eastAsia="Calibri"/>
          <w:color w:val="000000" w:themeColor="text1"/>
          <w:kern w:val="2"/>
          <w:lang w:val="ro-RO"/>
          <w14:ligatures w14:val="standardContextual"/>
        </w:rPr>
        <w:t xml:space="preserve"> din cadrul AJOFM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 xml:space="preserve"> întocmesc o notă în care justifică necesitatea demarării procedurii de ocupare prin </w:t>
      </w:r>
      <w:r w:rsidRPr="007115F5">
        <w:rPr>
          <w:rFonts w:eastAsia="Calibri"/>
          <w:color w:val="000000" w:themeColor="text1"/>
          <w:kern w:val="2"/>
          <w:lang w:val="ro-RO"/>
          <w14:ligatures w14:val="standardContextual"/>
        </w:rPr>
        <w:lastRenderedPageBreak/>
        <w:t>transfer, la cerere sau în interesul serviciului, a funcțiilor publice vacante din cadrul structurii.</w:t>
      </w:r>
    </w:p>
    <w:p w14:paraId="7B9EA41A" w14:textId="5F27DC7E"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 xml:space="preserve">(2) Nota care va atesta existența funcției publice vacante și încadrarea în buget, va fi supusă aprobării directorului executiv al AJOFM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w:t>
      </w:r>
    </w:p>
    <w:p w14:paraId="7BFB11B5"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(3) Pe lângă informațiile de mai sus, nota va conține cel puțin următoarele elemente:</w:t>
      </w:r>
    </w:p>
    <w:p w14:paraId="69E34948"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b/>
        <w:t>a) necesitatea ocupării funcției publice vacante;</w:t>
      </w:r>
    </w:p>
    <w:p w14:paraId="4F7F4B29"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b/>
        <w:t>b) identificarea funcției publice prin denumire, categorie, clasă și grad profesional;</w:t>
      </w:r>
    </w:p>
    <w:p w14:paraId="61735556"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b/>
        <w:t>c) compartimentul din care face parte funcția publică;</w:t>
      </w:r>
    </w:p>
    <w:p w14:paraId="59CC1D0A" w14:textId="57967163"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 xml:space="preserve">(4) După aprobarea de către directorul executiv al AJOFM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 xml:space="preserve">, nota se transmite  Compartimentului </w:t>
      </w:r>
      <w:r w:rsidR="003E57DA">
        <w:rPr>
          <w:rFonts w:eastAsia="Calibri"/>
          <w:color w:val="000000" w:themeColor="text1"/>
          <w:kern w:val="2"/>
          <w:lang w:val="ro-RO"/>
          <w14:ligatures w14:val="standardContextual"/>
        </w:rPr>
        <w:t>r</w:t>
      </w:r>
      <w:r w:rsidRPr="007115F5">
        <w:rPr>
          <w:rFonts w:eastAsia="Calibri"/>
          <w:color w:val="000000" w:themeColor="text1"/>
          <w:kern w:val="2"/>
          <w:lang w:val="ro-RO"/>
          <w14:ligatures w14:val="standardContextual"/>
        </w:rPr>
        <w:t xml:space="preserve">esurse </w:t>
      </w:r>
      <w:r w:rsidR="003E57DA">
        <w:rPr>
          <w:rFonts w:eastAsia="Calibri"/>
          <w:color w:val="000000" w:themeColor="text1"/>
          <w:kern w:val="2"/>
          <w:lang w:val="ro-RO"/>
          <w14:ligatures w14:val="standardContextual"/>
        </w:rPr>
        <w:t>u</w:t>
      </w:r>
      <w:r w:rsidRPr="007115F5">
        <w:rPr>
          <w:rFonts w:eastAsia="Calibri"/>
          <w:color w:val="000000" w:themeColor="text1"/>
          <w:kern w:val="2"/>
          <w:lang w:val="ro-RO"/>
          <w14:ligatures w14:val="standardContextual"/>
        </w:rPr>
        <w:t>mane</w:t>
      </w:r>
      <w:r w:rsidR="003E57DA">
        <w:rPr>
          <w:rFonts w:eastAsia="Calibri"/>
          <w:color w:val="000000" w:themeColor="text1"/>
          <w:kern w:val="2"/>
          <w:lang w:val="ro-RO"/>
          <w14:ligatures w14:val="standardContextual"/>
        </w:rPr>
        <w:t xml:space="preserve"> și salarizare</w:t>
      </w:r>
      <w:r w:rsidRPr="007115F5">
        <w:rPr>
          <w:rFonts w:eastAsia="Calibri"/>
          <w:color w:val="000000" w:themeColor="text1"/>
          <w:kern w:val="2"/>
          <w:lang w:val="ro-RO"/>
          <w14:ligatures w14:val="standardContextual"/>
        </w:rPr>
        <w:t>.</w:t>
      </w:r>
    </w:p>
    <w:p w14:paraId="6AA95A6A" w14:textId="520850A4"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Art.7</w:t>
      </w:r>
      <w:r w:rsidRPr="007115F5">
        <w:rPr>
          <w:rFonts w:eastAsia="Calibri"/>
          <w:color w:val="000000" w:themeColor="text1"/>
          <w:kern w:val="2"/>
          <w:lang w:val="ro-RO"/>
          <w14:ligatures w14:val="standardContextual"/>
        </w:rPr>
        <w:t xml:space="preserve"> – Compartimentul </w:t>
      </w:r>
      <w:r w:rsidR="003E57DA">
        <w:rPr>
          <w:rFonts w:eastAsia="Calibri"/>
          <w:color w:val="000000" w:themeColor="text1"/>
          <w:kern w:val="2"/>
          <w:lang w:val="ro-RO"/>
          <w14:ligatures w14:val="standardContextual"/>
        </w:rPr>
        <w:t>r</w:t>
      </w:r>
      <w:r w:rsidR="003E57DA" w:rsidRPr="007115F5">
        <w:rPr>
          <w:rFonts w:eastAsia="Calibri"/>
          <w:color w:val="000000" w:themeColor="text1"/>
          <w:kern w:val="2"/>
          <w:lang w:val="ro-RO"/>
          <w14:ligatures w14:val="standardContextual"/>
        </w:rPr>
        <w:t xml:space="preserve">esurse </w:t>
      </w:r>
      <w:r w:rsidR="003E57DA">
        <w:rPr>
          <w:rFonts w:eastAsia="Calibri"/>
          <w:color w:val="000000" w:themeColor="text1"/>
          <w:kern w:val="2"/>
          <w:lang w:val="ro-RO"/>
          <w14:ligatures w14:val="standardContextual"/>
        </w:rPr>
        <w:t>u</w:t>
      </w:r>
      <w:r w:rsidR="003E57DA" w:rsidRPr="007115F5">
        <w:rPr>
          <w:rFonts w:eastAsia="Calibri"/>
          <w:color w:val="000000" w:themeColor="text1"/>
          <w:kern w:val="2"/>
          <w:lang w:val="ro-RO"/>
          <w14:ligatures w14:val="standardContextual"/>
        </w:rPr>
        <w:t>mane</w:t>
      </w:r>
      <w:r w:rsidR="003E57DA">
        <w:rPr>
          <w:rFonts w:eastAsia="Calibri"/>
          <w:color w:val="000000" w:themeColor="text1"/>
          <w:kern w:val="2"/>
          <w:lang w:val="ro-RO"/>
          <w14:ligatures w14:val="standardContextual"/>
        </w:rPr>
        <w:t xml:space="preserve"> și salarizare</w:t>
      </w:r>
      <w:r w:rsidR="003E57DA" w:rsidRPr="007115F5">
        <w:rPr>
          <w:rFonts w:eastAsia="Calibri"/>
          <w:color w:val="000000" w:themeColor="text1"/>
          <w:kern w:val="2"/>
          <w:lang w:val="ro-RO"/>
          <w14:ligatures w14:val="standardContextual"/>
        </w:rPr>
        <w:t xml:space="preserve"> </w:t>
      </w:r>
      <w:r w:rsidRPr="007115F5">
        <w:rPr>
          <w:rFonts w:eastAsia="Calibri"/>
          <w:color w:val="000000" w:themeColor="text1"/>
          <w:kern w:val="2"/>
          <w:lang w:val="ro-RO"/>
          <w14:ligatures w14:val="standardContextual"/>
        </w:rPr>
        <w:t>are următoarele atribuții:</w:t>
      </w:r>
    </w:p>
    <w:p w14:paraId="7DFE7F94"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w:t>
      </w:r>
      <w:r w:rsidRPr="007115F5">
        <w:rPr>
          <w:rFonts w:eastAsia="Calibri"/>
          <w:color w:val="000000" w:themeColor="text1"/>
          <w:kern w:val="2"/>
          <w:lang w:val="ro-RO"/>
          <w14:ligatures w14:val="standardContextual"/>
        </w:rPr>
        <w:tab/>
        <w:t>Întocmește decizia privind desemnarea  comisiei de evaluare, a secretarului comisie și a expertului, după caz;</w:t>
      </w:r>
    </w:p>
    <w:p w14:paraId="27714043" w14:textId="64D5E901"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b)</w:t>
      </w:r>
      <w:r w:rsidRPr="007115F5">
        <w:rPr>
          <w:rFonts w:eastAsia="Calibri"/>
          <w:color w:val="000000" w:themeColor="text1"/>
          <w:kern w:val="2"/>
          <w:lang w:val="ro-RO"/>
          <w14:ligatures w14:val="standardContextual"/>
        </w:rPr>
        <w:tab/>
        <w:t xml:space="preserve">Întocmește și asigură publicarea anunțului privind ocuparea prin transfer a funcției publice, pe pagina de internet a AJOFM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w:t>
      </w:r>
    </w:p>
    <w:p w14:paraId="3EBB089B"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p>
    <w:p w14:paraId="2845F9FA"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Secțiunea a 2-a</w:t>
      </w:r>
    </w:p>
    <w:p w14:paraId="1F93B33B"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Documente necesare în vederea transferului</w:t>
      </w:r>
    </w:p>
    <w:p w14:paraId="004F95E2"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p>
    <w:p w14:paraId="0835C277" w14:textId="4DC6620D"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Art.8</w:t>
      </w:r>
      <w:r w:rsidRPr="007115F5">
        <w:rPr>
          <w:rFonts w:eastAsia="Calibri"/>
          <w:color w:val="000000" w:themeColor="text1"/>
          <w:kern w:val="2"/>
          <w:lang w:val="ro-RO"/>
          <w14:ligatures w14:val="standardContextual"/>
        </w:rPr>
        <w:t xml:space="preserve"> – (1) Persoanele interesate depun la registratura AJOFM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 xml:space="preserve"> cererea de transfer, conform anexei care face parte integrantă din prezentul regulament-cadru însoțită de celelalte documente solicitate în anunț, respectiv:</w:t>
      </w:r>
    </w:p>
    <w:p w14:paraId="11720E06" w14:textId="0469EB34"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w:t>
      </w:r>
      <w:r w:rsidRPr="007115F5">
        <w:rPr>
          <w:rFonts w:eastAsia="Calibri"/>
          <w:color w:val="000000" w:themeColor="text1"/>
          <w:kern w:val="2"/>
          <w:lang w:val="ro-RO"/>
          <w14:ligatures w14:val="standardContextual"/>
        </w:rPr>
        <w:tab/>
        <w:t>Adeverință din care să rez</w:t>
      </w:r>
      <w:r w:rsidR="0047445F">
        <w:rPr>
          <w:rFonts w:eastAsia="Calibri"/>
          <w:color w:val="000000" w:themeColor="text1"/>
          <w:kern w:val="2"/>
          <w:lang w:val="ro-RO"/>
          <w14:ligatures w14:val="standardContextual"/>
        </w:rPr>
        <w:t>u</w:t>
      </w:r>
      <w:r w:rsidRPr="007115F5">
        <w:rPr>
          <w:rFonts w:eastAsia="Calibri"/>
          <w:color w:val="000000" w:themeColor="text1"/>
          <w:kern w:val="2"/>
          <w:lang w:val="ro-RO"/>
          <w14:ligatures w14:val="standardContextual"/>
        </w:rPr>
        <w:t>lte calitatea de funcționar public;</w:t>
      </w:r>
    </w:p>
    <w:p w14:paraId="5F90C646"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b)</w:t>
      </w:r>
      <w:r w:rsidRPr="007115F5">
        <w:rPr>
          <w:rFonts w:eastAsia="Calibri"/>
          <w:color w:val="000000" w:themeColor="text1"/>
          <w:kern w:val="2"/>
          <w:lang w:val="ro-RO"/>
          <w14:ligatures w14:val="standardContextual"/>
        </w:rPr>
        <w:tab/>
        <w:t>Copia actului de identitate;</w:t>
      </w:r>
    </w:p>
    <w:p w14:paraId="50134EAC"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c)</w:t>
      </w:r>
      <w:r w:rsidRPr="007115F5">
        <w:rPr>
          <w:rFonts w:eastAsia="Calibri"/>
          <w:color w:val="000000" w:themeColor="text1"/>
          <w:kern w:val="2"/>
          <w:lang w:val="ro-RO"/>
          <w14:ligatures w14:val="standardContextual"/>
        </w:rPr>
        <w:tab/>
        <w:t>Copii ale diplomelor de studii, certificatelor și altor documente care atestă efectuarea unor specializări și perfecționări, raportat la cerințele din fișa postului vacant;</w:t>
      </w:r>
    </w:p>
    <w:p w14:paraId="4169FA54"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d)</w:t>
      </w:r>
      <w:r w:rsidRPr="007115F5">
        <w:rPr>
          <w:rFonts w:eastAsia="Calibri"/>
          <w:color w:val="000000" w:themeColor="text1"/>
          <w:kern w:val="2"/>
          <w:lang w:val="ro-RO"/>
          <w14:ligatures w14:val="standardContextual"/>
        </w:rPr>
        <w:tab/>
        <w:t>Copia carnetului de muncă și a adeverinței eliberate de angajator, după caz, care să ateste vechimea în specialitatea studiilor solicitate pentru ocuparea funcției publice;</w:t>
      </w:r>
    </w:p>
    <w:p w14:paraId="19B530D3"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e)</w:t>
      </w:r>
      <w:r w:rsidRPr="007115F5">
        <w:rPr>
          <w:rFonts w:eastAsia="Calibri"/>
          <w:color w:val="000000" w:themeColor="text1"/>
          <w:kern w:val="2"/>
          <w:lang w:val="ro-RO"/>
          <w14:ligatures w14:val="standardContextual"/>
        </w:rPr>
        <w:tab/>
        <w:t>Adeverință/copie adeverință care atestă starea de sănătate corespunzătoare, eliberată cu cel mult 6 luni anterior demarării etapei de selecție de către medicul de familie al candidatului.</w:t>
      </w:r>
    </w:p>
    <w:p w14:paraId="571ECCFE"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(2) Copiile actelor menționate la alin.(1), se prezintă în copii legalizate sau însoțite de documentele originale, care se certifică pentru conformitate cu originalul de către secretarul comisiei.</w:t>
      </w:r>
    </w:p>
    <w:p w14:paraId="53AB0AE8"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 xml:space="preserve">(3) Dosarul de transfer se poate depune personal de către candidat, se poate transmite prin intermediul unui serviciu de curierat sau se poate transmite în format electronic, la adresa </w:t>
      </w:r>
      <w:r w:rsidRPr="007115F5">
        <w:rPr>
          <w:rFonts w:eastAsia="Calibri"/>
          <w:color w:val="000000" w:themeColor="text1"/>
          <w:kern w:val="2"/>
          <w:lang w:val="ro-RO"/>
          <w14:ligatures w14:val="standardContextual"/>
        </w:rPr>
        <w:lastRenderedPageBreak/>
        <w:t>de e-mail indicată în anunțul de transfer. Dosarelor transmise de candidați la adresa de e-mail indicată în anunțul de transfer după terminarea programului de lucru al instituției, dar în perioada de depunere a dosarelor, li se atribuie număr de înregistrare în ziua lucrătoare următoare iar dosarul este considerat ca fiind depus în termen. Documentele care constituie dosarul se depun în copie, cu obligația candidatului de a prezenta secretarului comisie de evaluare originalele acestor documente, pentru certificare pentru conformitate cu originalul, până cel târziu la data desfășurării probei interviului, sub sancțiunea neemiterii actului administrativ de numire în funcția publică.</w:t>
      </w:r>
    </w:p>
    <w:p w14:paraId="63CE4FEE" w14:textId="495FD788"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 xml:space="preserve">(4) Fiecărui dosar i se atribuie un număr de înregistrare de la registratura AJOFM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 care se utilizează pentru comunicarea rezultatelor.</w:t>
      </w:r>
    </w:p>
    <w:p w14:paraId="4E460F25"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Secțiunea a 3-a</w:t>
      </w:r>
    </w:p>
    <w:p w14:paraId="70BFCEFD"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Publicitatea procedurii de selecție în cazul transferului</w:t>
      </w:r>
    </w:p>
    <w:p w14:paraId="0974A3DE" w14:textId="2DF0A906"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Art.9</w:t>
      </w:r>
      <w:r w:rsidRPr="007115F5">
        <w:rPr>
          <w:rFonts w:eastAsia="Calibri"/>
          <w:color w:val="000000" w:themeColor="text1"/>
          <w:kern w:val="2"/>
          <w:lang w:val="ro-RO"/>
          <w14:ligatures w14:val="standardContextual"/>
        </w:rPr>
        <w:t xml:space="preserve"> – (1) Anunțul privind ocuparea prin transfer a funcției publice se publică pe pagina de internet a AJOFM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 cu cel puțin 30 de zile calendaristice înainte de data stabilită pentru verificarea îndeplinirii competențelor specifice pentru funcția respectivă.</w:t>
      </w:r>
    </w:p>
    <w:p w14:paraId="5ABF3B1D"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(2) Anunțul va conține informații referitoare la categoria și numărul de posturi, fișa postului, condițiile de studii, condițiile de vechime, condițiile/competențele specifice fiecărui post, documentele necesare pentru înscriere, perioada de depunere a cererilor de transfer, data, ora și locul susținerii  probei suplimentare, după caz și a interviului.</w:t>
      </w:r>
    </w:p>
    <w:p w14:paraId="754B9B9A"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(3) Competențele specifice se dovedesc prin documente care să ateste deținerea acestora, emise în condițiile legii, potrivit standardului sau nivelului solicitat în anunț sau, după caz, pe baza testării prin organizarea unei probe suplimentare.</w:t>
      </w:r>
    </w:p>
    <w:p w14:paraId="709D5B81" w14:textId="4C0A27BC"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 xml:space="preserve">(4) În termen de maxim 20 zile calendaristice de la data publicării anunțului, persoanele interesate depun la registratura AJOFM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 xml:space="preserve"> documentele prevăzute la art.8.</w:t>
      </w:r>
    </w:p>
    <w:p w14:paraId="5FCC47BE"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p>
    <w:p w14:paraId="1CE9306D"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Secțiunea a 4-a</w:t>
      </w:r>
    </w:p>
    <w:p w14:paraId="38F3752E"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Constituirea comisie de evaluare și desemnare expert</w:t>
      </w:r>
    </w:p>
    <w:p w14:paraId="1B41217B"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Art.10</w:t>
      </w:r>
      <w:r w:rsidRPr="007115F5">
        <w:rPr>
          <w:rFonts w:eastAsia="Calibri"/>
          <w:color w:val="000000" w:themeColor="text1"/>
          <w:kern w:val="2"/>
          <w:lang w:val="ro-RO"/>
          <w14:ligatures w14:val="standardContextual"/>
        </w:rPr>
        <w:t xml:space="preserve"> – (1) Comisia de evaluare este formată din 3 membri și un secretar, funcționari publici din cadrul structurii în care este stabilită funcția vacantă.</w:t>
      </w:r>
    </w:p>
    <w:p w14:paraId="2CAE2681"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(2) Se pot desemna membri în comisia de evaluare funcționari publici din cadrul altor structuri, în situația în care numărul de funcționari publici este insuficient sau funcționarii publici din cadrul structurii respective se află în conflict de interese și/sau incompatibilitate.</w:t>
      </w:r>
    </w:p>
    <w:p w14:paraId="3007ECE5"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(3) Pot fi desemnați ca membri în comisia de evaluare funcționarii publici definitivi care îndeplinesc cumulativ următoarele condiții:</w:t>
      </w:r>
    </w:p>
    <w:p w14:paraId="3B17D25A"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b/>
        <w:t>a) au cunoștințe aprofundate în unul dintre domeniile funcțiilor pentru care se organizează transferul;</w:t>
      </w:r>
    </w:p>
    <w:p w14:paraId="1BED9346"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b/>
        <w:t>b) au pregătire și/sau experiență în unul dintre domeniile funcțiilor pentru care se organizează transferul, managementul resurselor umane sau în administrația publică;</w:t>
      </w:r>
    </w:p>
    <w:p w14:paraId="0437B056"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lastRenderedPageBreak/>
        <w:tab/>
        <w:t>c) au o probitate morală recunoscută;</w:t>
      </w:r>
    </w:p>
    <w:p w14:paraId="677486CA"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b/>
        <w:t>d) dețin o funcție publică cel puțin din aceeași clasă cu funcția de execuție vacantă pentru ocuparea căreia se organizează transferul;</w:t>
      </w:r>
    </w:p>
    <w:p w14:paraId="7C63F262"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b/>
        <w:t>e) nu se află în cazurile de incompatibilitate sau conflict de interese prevăzute de legislația în vigoare.</w:t>
      </w:r>
    </w:p>
    <w:p w14:paraId="2156953C"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(4) Nu poate fi desemnat ca membru sau membru supleant în comisia de evaluare funcționarul public care se află în următoarele cazuri de conflict de interese:</w:t>
      </w:r>
    </w:p>
    <w:p w14:paraId="11A7ED8D"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b/>
        <w:t>a) are relații cu caracter patrimonial cu oricare dintre candidați sau interesele patrimoniale ale sale ori ale soțului/soției pot afecta imparțialitatea și obiectivitatea evaluării;</w:t>
      </w:r>
    </w:p>
    <w:p w14:paraId="7250EA06"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b/>
        <w:t>b) are un interes politic, economic sau oricare alt interes personal direct sau indirect care îi pot afecta integritatea, imparțialitatea și obiectivitatea evaluării;</w:t>
      </w:r>
    </w:p>
    <w:p w14:paraId="252EE40A"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b/>
        <w:t>c) este soț, soție, rudă sau afin până la gradul IV inclusiv cu oricare dintre candidați ori cu un alt membru al comisiei de evaluare din care face parte;</w:t>
      </w:r>
    </w:p>
    <w:p w14:paraId="12EF10DA"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b/>
        <w:t>d) se află în relații de prietenie sau dușmănie cu oricare dintre candidați.</w:t>
      </w:r>
    </w:p>
    <w:p w14:paraId="78663E07"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(5) În situația în care modalitatea de dovedire a competențelor specifice se face pe baza testării prin organizarea unei probe suplimentare, structura unde se regăsește postul propune desemnarea unui expert pentru fiecare probă solicitată.</w:t>
      </w:r>
    </w:p>
    <w:p w14:paraId="056693A6" w14:textId="37A76B4D" w:rsidR="007115F5" w:rsidRPr="007115F5" w:rsidRDefault="007115F5" w:rsidP="004520A3">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 xml:space="preserve">(6) Secretariatul comisie de evaluare este asigurat de personalul din cadrul </w:t>
      </w:r>
      <w:r w:rsidR="004520A3">
        <w:rPr>
          <w:rFonts w:eastAsia="Calibri"/>
          <w:color w:val="000000" w:themeColor="text1"/>
          <w:kern w:val="2"/>
          <w:lang w:val="ro-RO"/>
          <w14:ligatures w14:val="standardContextual"/>
        </w:rPr>
        <w:t>c</w:t>
      </w:r>
      <w:r w:rsidRPr="007115F5">
        <w:rPr>
          <w:rFonts w:eastAsia="Calibri"/>
          <w:color w:val="000000" w:themeColor="text1"/>
          <w:kern w:val="2"/>
          <w:lang w:val="ro-RO"/>
          <w14:ligatures w14:val="standardContextual"/>
        </w:rPr>
        <w:t xml:space="preserve">ompartimentului </w:t>
      </w:r>
      <w:r w:rsidR="004520A3">
        <w:rPr>
          <w:rFonts w:eastAsia="Calibri"/>
          <w:color w:val="000000" w:themeColor="text1"/>
          <w:kern w:val="2"/>
          <w:lang w:val="ro-RO"/>
          <w14:ligatures w14:val="standardContextual"/>
        </w:rPr>
        <w:t>r</w:t>
      </w:r>
      <w:r w:rsidRPr="007115F5">
        <w:rPr>
          <w:rFonts w:eastAsia="Calibri"/>
          <w:color w:val="000000" w:themeColor="text1"/>
          <w:kern w:val="2"/>
          <w:lang w:val="ro-RO"/>
          <w14:ligatures w14:val="standardContextual"/>
        </w:rPr>
        <w:t xml:space="preserve">esurse </w:t>
      </w:r>
      <w:r w:rsidR="004520A3">
        <w:rPr>
          <w:rFonts w:eastAsia="Calibri"/>
          <w:color w:val="000000" w:themeColor="text1"/>
          <w:kern w:val="2"/>
          <w:lang w:val="ro-RO"/>
          <w14:ligatures w14:val="standardContextual"/>
        </w:rPr>
        <w:t>u</w:t>
      </w:r>
      <w:r w:rsidRPr="007115F5">
        <w:rPr>
          <w:rFonts w:eastAsia="Calibri"/>
          <w:color w:val="000000" w:themeColor="text1"/>
          <w:kern w:val="2"/>
          <w:lang w:val="ro-RO"/>
          <w14:ligatures w14:val="standardContextual"/>
        </w:rPr>
        <w:t>mane</w:t>
      </w:r>
      <w:r w:rsidR="004520A3">
        <w:rPr>
          <w:rFonts w:eastAsia="Calibri"/>
          <w:color w:val="000000" w:themeColor="text1"/>
          <w:kern w:val="2"/>
          <w:lang w:val="ro-RO"/>
          <w14:ligatures w14:val="standardContextual"/>
        </w:rPr>
        <w:t xml:space="preserve"> și</w:t>
      </w:r>
      <w:r w:rsidRPr="007115F5">
        <w:rPr>
          <w:rFonts w:eastAsia="Calibri"/>
          <w:color w:val="000000" w:themeColor="text1"/>
          <w:kern w:val="2"/>
          <w:lang w:val="ro-RO"/>
          <w14:ligatures w14:val="standardContextual"/>
        </w:rPr>
        <w:t xml:space="preserve"> </w:t>
      </w:r>
      <w:r w:rsidR="004520A3">
        <w:rPr>
          <w:rFonts w:eastAsia="Calibri"/>
          <w:color w:val="000000" w:themeColor="text1"/>
          <w:kern w:val="2"/>
          <w:lang w:val="ro-RO"/>
          <w14:ligatures w14:val="standardContextual"/>
        </w:rPr>
        <w:t>s</w:t>
      </w:r>
      <w:r w:rsidRPr="007115F5">
        <w:rPr>
          <w:rFonts w:eastAsia="Calibri"/>
          <w:color w:val="000000" w:themeColor="text1"/>
          <w:kern w:val="2"/>
          <w:lang w:val="ro-RO"/>
          <w14:ligatures w14:val="standardContextual"/>
        </w:rPr>
        <w:t>alarizare</w:t>
      </w:r>
      <w:r w:rsidR="004520A3">
        <w:rPr>
          <w:rFonts w:eastAsia="Calibri"/>
          <w:color w:val="000000" w:themeColor="text1"/>
          <w:kern w:val="2"/>
          <w:lang w:val="ro-RO"/>
          <w14:ligatures w14:val="standardContextual"/>
        </w:rPr>
        <w:t>.</w:t>
      </w:r>
    </w:p>
    <w:p w14:paraId="4B3AF995"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p>
    <w:p w14:paraId="40535E43"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Secțiunea a 5-a</w:t>
      </w:r>
    </w:p>
    <w:p w14:paraId="59540E13"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Atribuțiile comisiei de evaluare și ale secretariatului comisiei de evaluare</w:t>
      </w:r>
    </w:p>
    <w:p w14:paraId="08ACD1A9"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p>
    <w:p w14:paraId="68F4034E"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Art.11</w:t>
      </w:r>
      <w:r w:rsidRPr="007115F5">
        <w:rPr>
          <w:rFonts w:eastAsia="Calibri"/>
          <w:color w:val="000000" w:themeColor="text1"/>
          <w:kern w:val="2"/>
          <w:lang w:val="ro-RO"/>
          <w14:ligatures w14:val="standardContextual"/>
        </w:rPr>
        <w:t xml:space="preserve"> – Comisia de evaluare are următoarele atribuții:</w:t>
      </w:r>
    </w:p>
    <w:p w14:paraId="742FA90A" w14:textId="54B04B9A" w:rsidR="007115F5" w:rsidRPr="007115F5" w:rsidRDefault="00A77914" w:rsidP="007115F5">
      <w:pPr>
        <w:tabs>
          <w:tab w:val="left" w:pos="-360"/>
        </w:tabs>
        <w:ind w:left="0"/>
        <w:rPr>
          <w:rFonts w:eastAsia="Calibri"/>
          <w:color w:val="000000" w:themeColor="text1"/>
          <w:kern w:val="2"/>
          <w:lang w:val="ro-RO"/>
          <w14:ligatures w14:val="standardContextual"/>
        </w:rPr>
      </w:pPr>
      <w:r>
        <w:rPr>
          <w:rFonts w:eastAsia="Calibri"/>
          <w:color w:val="000000" w:themeColor="text1"/>
          <w:kern w:val="2"/>
          <w:lang w:val="ro-RO"/>
          <w14:ligatures w14:val="standardContextual"/>
        </w:rPr>
        <w:tab/>
      </w:r>
      <w:r w:rsidR="007115F5" w:rsidRPr="007115F5">
        <w:rPr>
          <w:rFonts w:eastAsia="Calibri"/>
          <w:color w:val="000000" w:themeColor="text1"/>
          <w:kern w:val="2"/>
          <w:lang w:val="ro-RO"/>
          <w14:ligatures w14:val="standardContextual"/>
        </w:rPr>
        <w:t>a)</w:t>
      </w:r>
      <w:r w:rsidR="007115F5" w:rsidRPr="007115F5">
        <w:rPr>
          <w:rFonts w:eastAsia="Calibri"/>
          <w:color w:val="000000" w:themeColor="text1"/>
          <w:kern w:val="2"/>
          <w:lang w:val="ro-RO"/>
          <w14:ligatures w14:val="standardContextual"/>
        </w:rPr>
        <w:tab/>
        <w:t>Verifică îndeplinirea condițiilor de transfer;</w:t>
      </w:r>
    </w:p>
    <w:p w14:paraId="6374DF70" w14:textId="0A5124EC" w:rsidR="007115F5" w:rsidRPr="007115F5" w:rsidRDefault="00A77914" w:rsidP="007115F5">
      <w:pPr>
        <w:tabs>
          <w:tab w:val="left" w:pos="-360"/>
        </w:tabs>
        <w:ind w:left="0"/>
        <w:rPr>
          <w:rFonts w:eastAsia="Calibri"/>
          <w:color w:val="000000" w:themeColor="text1"/>
          <w:kern w:val="2"/>
          <w:lang w:val="ro-RO"/>
          <w14:ligatures w14:val="standardContextual"/>
        </w:rPr>
      </w:pPr>
      <w:r>
        <w:rPr>
          <w:rFonts w:eastAsia="Calibri"/>
          <w:color w:val="000000" w:themeColor="text1"/>
          <w:kern w:val="2"/>
          <w:lang w:val="ro-RO"/>
          <w14:ligatures w14:val="standardContextual"/>
        </w:rPr>
        <w:tab/>
      </w:r>
      <w:r w:rsidR="007115F5" w:rsidRPr="007115F5">
        <w:rPr>
          <w:rFonts w:eastAsia="Calibri"/>
          <w:color w:val="000000" w:themeColor="text1"/>
          <w:kern w:val="2"/>
          <w:lang w:val="ro-RO"/>
          <w14:ligatures w14:val="standardContextual"/>
        </w:rPr>
        <w:t>b)</w:t>
      </w:r>
      <w:r w:rsidR="007115F5" w:rsidRPr="007115F5">
        <w:rPr>
          <w:rFonts w:eastAsia="Calibri"/>
          <w:color w:val="000000" w:themeColor="text1"/>
          <w:kern w:val="2"/>
          <w:lang w:val="ro-RO"/>
          <w14:ligatures w14:val="standardContextual"/>
        </w:rPr>
        <w:tab/>
        <w:t>Stabilește planul de interviu și realizează interviul;</w:t>
      </w:r>
    </w:p>
    <w:p w14:paraId="15ACC0CE" w14:textId="66021A45" w:rsidR="007115F5" w:rsidRPr="007115F5" w:rsidRDefault="00A77914" w:rsidP="00A77914">
      <w:pPr>
        <w:tabs>
          <w:tab w:val="left" w:pos="-360"/>
        </w:tabs>
        <w:ind w:left="720" w:hanging="720"/>
        <w:rPr>
          <w:rFonts w:eastAsia="Calibri"/>
          <w:color w:val="000000" w:themeColor="text1"/>
          <w:kern w:val="2"/>
          <w:lang w:val="ro-RO"/>
          <w14:ligatures w14:val="standardContextual"/>
        </w:rPr>
      </w:pPr>
      <w:r>
        <w:rPr>
          <w:rFonts w:eastAsia="Calibri"/>
          <w:color w:val="000000" w:themeColor="text1"/>
          <w:kern w:val="2"/>
          <w:lang w:val="ro-RO"/>
          <w14:ligatures w14:val="standardContextual"/>
        </w:rPr>
        <w:tab/>
      </w:r>
      <w:r w:rsidR="007115F5" w:rsidRPr="007115F5">
        <w:rPr>
          <w:rFonts w:eastAsia="Calibri"/>
          <w:color w:val="000000" w:themeColor="text1"/>
          <w:kern w:val="2"/>
          <w:lang w:val="ro-RO"/>
          <w14:ligatures w14:val="standardContextual"/>
        </w:rPr>
        <w:t>c)</w:t>
      </w:r>
      <w:r w:rsidR="007115F5" w:rsidRPr="007115F5">
        <w:rPr>
          <w:rFonts w:eastAsia="Calibri"/>
          <w:color w:val="000000" w:themeColor="text1"/>
          <w:kern w:val="2"/>
          <w:lang w:val="ro-RO"/>
          <w14:ligatures w14:val="standardContextual"/>
        </w:rPr>
        <w:tab/>
        <w:t>Notează în fișa individuală, pentru fiecare candidat, punctajul obținut la interviu;</w:t>
      </w:r>
    </w:p>
    <w:p w14:paraId="1F6D4EA4" w14:textId="5B33A24D" w:rsidR="007115F5" w:rsidRPr="007115F5" w:rsidRDefault="00A77914" w:rsidP="00A77914">
      <w:pPr>
        <w:tabs>
          <w:tab w:val="left" w:pos="-360"/>
        </w:tabs>
        <w:ind w:left="720" w:hanging="720"/>
        <w:rPr>
          <w:rFonts w:eastAsia="Calibri"/>
          <w:color w:val="000000" w:themeColor="text1"/>
          <w:kern w:val="2"/>
          <w:lang w:val="ro-RO"/>
          <w14:ligatures w14:val="standardContextual"/>
        </w:rPr>
      </w:pPr>
      <w:r>
        <w:rPr>
          <w:rFonts w:eastAsia="Calibri"/>
          <w:color w:val="000000" w:themeColor="text1"/>
          <w:kern w:val="2"/>
          <w:lang w:val="ro-RO"/>
          <w14:ligatures w14:val="standardContextual"/>
        </w:rPr>
        <w:tab/>
      </w:r>
      <w:r w:rsidR="007115F5" w:rsidRPr="007115F5">
        <w:rPr>
          <w:rFonts w:eastAsia="Calibri"/>
          <w:color w:val="000000" w:themeColor="text1"/>
          <w:kern w:val="2"/>
          <w:lang w:val="ro-RO"/>
          <w14:ligatures w14:val="standardContextual"/>
        </w:rPr>
        <w:t>d)</w:t>
      </w:r>
      <w:r w:rsidR="007115F5" w:rsidRPr="007115F5">
        <w:rPr>
          <w:rFonts w:eastAsia="Calibri"/>
          <w:color w:val="000000" w:themeColor="text1"/>
          <w:kern w:val="2"/>
          <w:lang w:val="ro-RO"/>
          <w14:ligatures w14:val="standardContextual"/>
        </w:rPr>
        <w:tab/>
        <w:t xml:space="preserve">Transmite secretarului comisiei rezultatele pentru a fi comunicate candidaților prin afișarea acestora pe site-ul AJOFM </w:t>
      </w:r>
      <w:r w:rsidR="003E57DA">
        <w:rPr>
          <w:rFonts w:eastAsia="Calibri"/>
          <w:color w:val="000000" w:themeColor="text1"/>
          <w:kern w:val="2"/>
          <w:lang w:val="ro-RO"/>
          <w14:ligatures w14:val="standardContextual"/>
        </w:rPr>
        <w:t>Gorj</w:t>
      </w:r>
      <w:r w:rsidR="007115F5" w:rsidRPr="007115F5">
        <w:rPr>
          <w:rFonts w:eastAsia="Calibri"/>
          <w:color w:val="000000" w:themeColor="text1"/>
          <w:kern w:val="2"/>
          <w:lang w:val="ro-RO"/>
          <w14:ligatures w14:val="standardContextual"/>
        </w:rPr>
        <w:t>.</w:t>
      </w:r>
    </w:p>
    <w:p w14:paraId="3F6EBF12"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Art.12</w:t>
      </w:r>
      <w:r w:rsidRPr="007115F5">
        <w:rPr>
          <w:rFonts w:eastAsia="Calibri"/>
          <w:color w:val="000000" w:themeColor="text1"/>
          <w:kern w:val="2"/>
          <w:lang w:val="ro-RO"/>
          <w14:ligatures w14:val="standardContextual"/>
        </w:rPr>
        <w:t xml:space="preserve"> – Secretarul comisiei de evaluare are următoarele atribuții:</w:t>
      </w:r>
    </w:p>
    <w:p w14:paraId="16A4F90C" w14:textId="7D0FAE0F" w:rsidR="007115F5" w:rsidRPr="007115F5" w:rsidRDefault="00A77914" w:rsidP="00A77914">
      <w:pPr>
        <w:tabs>
          <w:tab w:val="left" w:pos="-360"/>
        </w:tabs>
        <w:ind w:left="720" w:hanging="720"/>
        <w:rPr>
          <w:rFonts w:eastAsia="Calibri"/>
          <w:color w:val="000000" w:themeColor="text1"/>
          <w:kern w:val="2"/>
          <w:lang w:val="ro-RO"/>
          <w14:ligatures w14:val="standardContextual"/>
        </w:rPr>
      </w:pPr>
      <w:r>
        <w:rPr>
          <w:rFonts w:eastAsia="Calibri"/>
          <w:color w:val="000000" w:themeColor="text1"/>
          <w:kern w:val="2"/>
          <w:lang w:val="ro-RO"/>
          <w14:ligatures w14:val="standardContextual"/>
        </w:rPr>
        <w:tab/>
      </w:r>
      <w:r w:rsidR="007115F5" w:rsidRPr="007115F5">
        <w:rPr>
          <w:rFonts w:eastAsia="Calibri"/>
          <w:color w:val="000000" w:themeColor="text1"/>
          <w:kern w:val="2"/>
          <w:lang w:val="ro-RO"/>
          <w14:ligatures w14:val="standardContextual"/>
        </w:rPr>
        <w:t>a)</w:t>
      </w:r>
      <w:r w:rsidR="007115F5" w:rsidRPr="007115F5">
        <w:rPr>
          <w:rFonts w:eastAsia="Calibri"/>
          <w:color w:val="000000" w:themeColor="text1"/>
          <w:kern w:val="2"/>
          <w:lang w:val="ro-RO"/>
          <w14:ligatures w14:val="standardContextual"/>
        </w:rPr>
        <w:tab/>
        <w:t>Primește documentele necesare în vederea realizării transferului, prevăzute la art.8;</w:t>
      </w:r>
    </w:p>
    <w:p w14:paraId="51F2FD3A" w14:textId="5D956DA2" w:rsidR="007115F5" w:rsidRPr="007115F5" w:rsidRDefault="00A77914" w:rsidP="007115F5">
      <w:pPr>
        <w:tabs>
          <w:tab w:val="left" w:pos="-360"/>
        </w:tabs>
        <w:ind w:left="0"/>
        <w:rPr>
          <w:rFonts w:eastAsia="Calibri"/>
          <w:color w:val="000000" w:themeColor="text1"/>
          <w:kern w:val="2"/>
          <w:lang w:val="ro-RO"/>
          <w14:ligatures w14:val="standardContextual"/>
        </w:rPr>
      </w:pPr>
      <w:r>
        <w:rPr>
          <w:rFonts w:eastAsia="Calibri"/>
          <w:color w:val="000000" w:themeColor="text1"/>
          <w:kern w:val="2"/>
          <w:lang w:val="ro-RO"/>
          <w14:ligatures w14:val="standardContextual"/>
        </w:rPr>
        <w:tab/>
      </w:r>
      <w:r w:rsidR="007115F5" w:rsidRPr="007115F5">
        <w:rPr>
          <w:rFonts w:eastAsia="Calibri"/>
          <w:color w:val="000000" w:themeColor="text1"/>
          <w:kern w:val="2"/>
          <w:lang w:val="ro-RO"/>
          <w14:ligatures w14:val="standardContextual"/>
        </w:rPr>
        <w:t>b)</w:t>
      </w:r>
      <w:r w:rsidR="007115F5" w:rsidRPr="007115F5">
        <w:rPr>
          <w:rFonts w:eastAsia="Calibri"/>
          <w:color w:val="000000" w:themeColor="text1"/>
          <w:kern w:val="2"/>
          <w:lang w:val="ro-RO"/>
          <w14:ligatures w14:val="standardContextual"/>
        </w:rPr>
        <w:tab/>
        <w:t xml:space="preserve">Convoacă membrii comisiei de evaluare; </w:t>
      </w:r>
    </w:p>
    <w:p w14:paraId="71E978ED" w14:textId="489BC72D" w:rsidR="007115F5" w:rsidRPr="007115F5" w:rsidRDefault="00A77914" w:rsidP="00A77914">
      <w:pPr>
        <w:tabs>
          <w:tab w:val="left" w:pos="-360"/>
        </w:tabs>
        <w:ind w:left="720" w:hanging="720"/>
        <w:rPr>
          <w:rFonts w:eastAsia="Calibri"/>
          <w:color w:val="000000" w:themeColor="text1"/>
          <w:kern w:val="2"/>
          <w:lang w:val="ro-RO"/>
          <w14:ligatures w14:val="standardContextual"/>
        </w:rPr>
      </w:pPr>
      <w:r>
        <w:rPr>
          <w:rFonts w:eastAsia="Calibri"/>
          <w:color w:val="000000" w:themeColor="text1"/>
          <w:kern w:val="2"/>
          <w:lang w:val="ro-RO"/>
          <w14:ligatures w14:val="standardContextual"/>
        </w:rPr>
        <w:lastRenderedPageBreak/>
        <w:tab/>
      </w:r>
      <w:r w:rsidR="007115F5" w:rsidRPr="007115F5">
        <w:rPr>
          <w:rFonts w:eastAsia="Calibri"/>
          <w:color w:val="000000" w:themeColor="text1"/>
          <w:kern w:val="2"/>
          <w:lang w:val="ro-RO"/>
          <w14:ligatures w14:val="standardContextual"/>
        </w:rPr>
        <w:t>c)</w:t>
      </w:r>
      <w:r w:rsidR="007115F5" w:rsidRPr="007115F5">
        <w:rPr>
          <w:rFonts w:eastAsia="Calibri"/>
          <w:color w:val="000000" w:themeColor="text1"/>
          <w:kern w:val="2"/>
          <w:lang w:val="ro-RO"/>
          <w14:ligatures w14:val="standardContextual"/>
        </w:rPr>
        <w:tab/>
        <w:t>Întocmește și redactează întreaga documentație privind activitatea specifică a comisiei de evaluare;</w:t>
      </w:r>
    </w:p>
    <w:p w14:paraId="24D11AA7" w14:textId="1B34F5B2" w:rsidR="007115F5" w:rsidRPr="007115F5" w:rsidRDefault="00A77914" w:rsidP="007115F5">
      <w:pPr>
        <w:tabs>
          <w:tab w:val="left" w:pos="-360"/>
        </w:tabs>
        <w:ind w:left="0"/>
        <w:rPr>
          <w:rFonts w:eastAsia="Calibri"/>
          <w:color w:val="000000" w:themeColor="text1"/>
          <w:kern w:val="2"/>
          <w:lang w:val="ro-RO"/>
          <w14:ligatures w14:val="standardContextual"/>
        </w:rPr>
      </w:pPr>
      <w:r>
        <w:rPr>
          <w:rFonts w:eastAsia="Calibri"/>
          <w:color w:val="000000" w:themeColor="text1"/>
          <w:kern w:val="2"/>
          <w:lang w:val="ro-RO"/>
          <w14:ligatures w14:val="standardContextual"/>
        </w:rPr>
        <w:tab/>
      </w:r>
      <w:r w:rsidR="007115F5" w:rsidRPr="007115F5">
        <w:rPr>
          <w:rFonts w:eastAsia="Calibri"/>
          <w:color w:val="000000" w:themeColor="text1"/>
          <w:kern w:val="2"/>
          <w:lang w:val="ro-RO"/>
          <w14:ligatures w14:val="standardContextual"/>
        </w:rPr>
        <w:t>d)</w:t>
      </w:r>
      <w:r w:rsidR="007115F5" w:rsidRPr="007115F5">
        <w:rPr>
          <w:rFonts w:eastAsia="Calibri"/>
          <w:color w:val="000000" w:themeColor="text1"/>
          <w:kern w:val="2"/>
          <w:lang w:val="ro-RO"/>
          <w14:ligatures w14:val="standardContextual"/>
        </w:rPr>
        <w:tab/>
        <w:t>Asigură transmiterea și afișarea rezultatelor obținute de candidați;</w:t>
      </w:r>
    </w:p>
    <w:p w14:paraId="04F84A92" w14:textId="59C27A2A" w:rsidR="007115F5" w:rsidRPr="007115F5" w:rsidRDefault="00A77914" w:rsidP="00A77914">
      <w:pPr>
        <w:tabs>
          <w:tab w:val="left" w:pos="-360"/>
        </w:tabs>
        <w:ind w:left="720" w:hanging="720"/>
        <w:rPr>
          <w:rFonts w:eastAsia="Calibri"/>
          <w:color w:val="000000" w:themeColor="text1"/>
          <w:kern w:val="2"/>
          <w:lang w:val="ro-RO"/>
          <w14:ligatures w14:val="standardContextual"/>
        </w:rPr>
      </w:pPr>
      <w:r>
        <w:rPr>
          <w:rFonts w:eastAsia="Calibri"/>
          <w:color w:val="000000" w:themeColor="text1"/>
          <w:kern w:val="2"/>
          <w:lang w:val="ro-RO"/>
          <w14:ligatures w14:val="standardContextual"/>
        </w:rPr>
        <w:tab/>
      </w:r>
      <w:r w:rsidR="007115F5" w:rsidRPr="007115F5">
        <w:rPr>
          <w:rFonts w:eastAsia="Calibri"/>
          <w:color w:val="000000" w:themeColor="text1"/>
          <w:kern w:val="2"/>
          <w:lang w:val="ro-RO"/>
          <w14:ligatures w14:val="standardContextual"/>
        </w:rPr>
        <w:t>e)</w:t>
      </w:r>
      <w:r w:rsidR="007115F5" w:rsidRPr="007115F5">
        <w:rPr>
          <w:rFonts w:eastAsia="Calibri"/>
          <w:color w:val="000000" w:themeColor="text1"/>
          <w:kern w:val="2"/>
          <w:lang w:val="ro-RO"/>
          <w14:ligatures w14:val="standardContextual"/>
        </w:rPr>
        <w:tab/>
        <w:t>Îndeplinește orice sarcini specifice necesare pentru buna desfășurare a procedurii de transfer.</w:t>
      </w:r>
    </w:p>
    <w:p w14:paraId="4451649B"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p>
    <w:p w14:paraId="018D768A"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CAPITOLUL II</w:t>
      </w:r>
    </w:p>
    <w:p w14:paraId="2B0932A6"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Desfășurarea procedurii de selecție în cazul transferului</w:t>
      </w:r>
    </w:p>
    <w:p w14:paraId="1AE8CBB9"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Secțiunea 1</w:t>
      </w:r>
    </w:p>
    <w:p w14:paraId="6FDC26C6"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Dispoziții generale privind desfășurarea procedurii de selecție în cazul transferului</w:t>
      </w:r>
    </w:p>
    <w:p w14:paraId="6BC862B7"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Art.13</w:t>
      </w:r>
      <w:r w:rsidRPr="007115F5">
        <w:rPr>
          <w:rFonts w:eastAsia="Calibri"/>
          <w:color w:val="000000" w:themeColor="text1"/>
          <w:kern w:val="2"/>
          <w:lang w:val="ro-RO"/>
          <w14:ligatures w14:val="standardContextual"/>
        </w:rPr>
        <w:t xml:space="preserve"> – (1) Procedura de selecție în cazul transferului la cerere/în interesul serviciului cuprinde următoarele etape succesive:</w:t>
      </w:r>
    </w:p>
    <w:p w14:paraId="017FF48E"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w:t>
      </w:r>
      <w:r w:rsidRPr="007115F5">
        <w:rPr>
          <w:rFonts w:eastAsia="Calibri"/>
          <w:color w:val="000000" w:themeColor="text1"/>
          <w:kern w:val="2"/>
          <w:lang w:val="ro-RO"/>
          <w14:ligatures w14:val="standardContextual"/>
        </w:rPr>
        <w:tab/>
        <w:t>Etapa de selecție a dosarelor care îndeplinesc condițiile în vederea ocupării posturilor vacante prin transfer, pe baza documentelor prevăzute la art.8;</w:t>
      </w:r>
    </w:p>
    <w:p w14:paraId="24D5989F"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b)</w:t>
      </w:r>
      <w:r w:rsidRPr="007115F5">
        <w:rPr>
          <w:rFonts w:eastAsia="Calibri"/>
          <w:color w:val="000000" w:themeColor="text1"/>
          <w:kern w:val="2"/>
          <w:lang w:val="ro-RO"/>
          <w14:ligatures w14:val="standardContextual"/>
        </w:rPr>
        <w:tab/>
        <w:t>Etapa de testare prin probă suplimentară pentru dovedirea competențelor specifice, după caz;</w:t>
      </w:r>
    </w:p>
    <w:p w14:paraId="314CC59C"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c)</w:t>
      </w:r>
      <w:r w:rsidRPr="007115F5">
        <w:rPr>
          <w:rFonts w:eastAsia="Calibri"/>
          <w:color w:val="000000" w:themeColor="text1"/>
          <w:kern w:val="2"/>
          <w:lang w:val="ro-RO"/>
          <w14:ligatures w14:val="standardContextual"/>
        </w:rPr>
        <w:tab/>
        <w:t>Interviul.</w:t>
      </w:r>
    </w:p>
    <w:p w14:paraId="6945B957"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(2) Interviul poate fi susţinut doar de solicitanţii declaraţi admişi la etapa de selecţie a persoanelor care îndeplinesc condiţiile în vederea ocupării posturilor vacante prin transfer şi a probei suplimentare, după caz.</w:t>
      </w:r>
    </w:p>
    <w:p w14:paraId="32E421A0"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Art.14</w:t>
      </w:r>
      <w:r w:rsidRPr="007115F5">
        <w:rPr>
          <w:rFonts w:eastAsia="Calibri"/>
          <w:color w:val="000000" w:themeColor="text1"/>
          <w:kern w:val="2"/>
          <w:lang w:val="ro-RO"/>
          <w14:ligatures w14:val="standardContextual"/>
        </w:rPr>
        <w:t xml:space="preserve"> – În situația în care sunt înregistrate cereri de transfer formulate de persoane cu dizabilități, prevederile Capitolului IX din Anexa 10 a OUG nr.57/2019, se aplică în mod corespunzător.</w:t>
      </w:r>
    </w:p>
    <w:p w14:paraId="59D19413" w14:textId="77777777" w:rsidR="0047445F" w:rsidRDefault="0047445F" w:rsidP="00A77914">
      <w:pPr>
        <w:tabs>
          <w:tab w:val="left" w:pos="-360"/>
        </w:tabs>
        <w:ind w:left="0"/>
        <w:jc w:val="center"/>
        <w:rPr>
          <w:rFonts w:eastAsia="Calibri"/>
          <w:b/>
          <w:bCs/>
          <w:color w:val="000000" w:themeColor="text1"/>
          <w:kern w:val="2"/>
          <w:lang w:val="ro-RO"/>
          <w14:ligatures w14:val="standardContextual"/>
        </w:rPr>
      </w:pPr>
    </w:p>
    <w:p w14:paraId="2291F1CC" w14:textId="45CCB892"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Secțiunea a 2-a</w:t>
      </w:r>
    </w:p>
    <w:p w14:paraId="53F5E850"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Selecția persoanelor care îndeplinesc condițiile în vederea ocupării posturilor vacante prin transfer, notarea interviului și comunicarea rezultatelor</w:t>
      </w:r>
    </w:p>
    <w:p w14:paraId="5EE48D9F" w14:textId="77777777" w:rsidR="00A77914" w:rsidRPr="007115F5" w:rsidRDefault="00A77914" w:rsidP="007115F5">
      <w:pPr>
        <w:tabs>
          <w:tab w:val="left" w:pos="-360"/>
        </w:tabs>
        <w:ind w:left="0"/>
        <w:rPr>
          <w:rFonts w:eastAsia="Calibri"/>
          <w:color w:val="000000" w:themeColor="text1"/>
          <w:kern w:val="2"/>
          <w:lang w:val="ro-RO"/>
          <w14:ligatures w14:val="standardContextual"/>
        </w:rPr>
      </w:pPr>
    </w:p>
    <w:p w14:paraId="1BDE30A9"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Art.15</w:t>
      </w:r>
      <w:r w:rsidRPr="007115F5">
        <w:rPr>
          <w:rFonts w:eastAsia="Calibri"/>
          <w:color w:val="000000" w:themeColor="text1"/>
          <w:kern w:val="2"/>
          <w:lang w:val="ro-RO"/>
          <w14:ligatures w14:val="standardContextual"/>
        </w:rPr>
        <w:t xml:space="preserve"> – (1) După data expirării termenului de depunere a cererilor de transfer, comisia de evaluare are obligația de a verifica cererile și documentele aferente.</w:t>
      </w:r>
    </w:p>
    <w:p w14:paraId="35FD96F1" w14:textId="2A45A195"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 xml:space="preserve">(2) Rezultatul cu mențiunea ”admis” sau ”respins” cu motivul respingerii, după caz, se publică pe pagina de internet și la sediul AJOFM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 Rezultatul probei nu se contestă.</w:t>
      </w:r>
    </w:p>
    <w:p w14:paraId="5C946355" w14:textId="622237F6"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 xml:space="preserve">(3) Proba suplimentară se suține potrivit metodologiilor aprobate în cadrul AJOFM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 xml:space="preserve"> iar rezultatul se afișează în termen de o oră de la data finalizării probei suplimentare rezultatul probei suplimentare se afișează cu mențiunea ”admis” sau ”respins” și nu se contestă.</w:t>
      </w:r>
    </w:p>
    <w:p w14:paraId="43B38E2B"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lastRenderedPageBreak/>
        <w:t>Art.16</w:t>
      </w:r>
      <w:r w:rsidRPr="007115F5">
        <w:rPr>
          <w:rFonts w:eastAsia="Calibri"/>
          <w:color w:val="000000" w:themeColor="text1"/>
          <w:kern w:val="2"/>
          <w:lang w:val="ro-RO"/>
          <w14:ligatures w14:val="standardContextual"/>
        </w:rPr>
        <w:t xml:space="preserve"> – (1) Interviul se realizează conform planului de interviu întocmit de comisie în ziua desfășurării acestei probe, pe baza criteriilor de evaluare.</w:t>
      </w:r>
    </w:p>
    <w:p w14:paraId="5A61DCBD"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(2) La propunerea comisiei, interviul poate fi înregistrat, cu acordul exprimat și consemnat al candidatului. În caz contrar, interviul se consemnează în scris.</w:t>
      </w:r>
    </w:p>
    <w:p w14:paraId="775E25AF"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(3) Pentru interviu punctajul este de maximum 100 de puncte.</w:t>
      </w:r>
    </w:p>
    <w:p w14:paraId="71D8A168"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(4) Criteriile de evaluare prevăzute în planul de interviu, pentru funcțiile publice de execuție, sunt:</w:t>
      </w:r>
    </w:p>
    <w:p w14:paraId="1EB51648"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b/>
        <w:t>a) capacitatea de analiză și sinteză;</w:t>
      </w:r>
    </w:p>
    <w:p w14:paraId="2424999B"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b/>
        <w:t>b) abilități de comunicare orală specifică domeniului de specialitate;</w:t>
      </w:r>
    </w:p>
    <w:p w14:paraId="2B2593CB"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b/>
        <w:t>c) motivația candidatului;</w:t>
      </w:r>
    </w:p>
    <w:p w14:paraId="5BA3AD55"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b/>
        <w:t>d) comportamentul în situațiile de criză, relevant pentru domeniul de specialitate;</w:t>
      </w:r>
    </w:p>
    <w:p w14:paraId="313D86DF"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b/>
        <w:t>e) abilități impuse de funcție.</w:t>
      </w:r>
    </w:p>
    <w:p w14:paraId="206BEF8E"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(5) Fiecare membru al comisiei de transfer adresează cel puțin o întrebare candidatului. Nu se pot adresa întrebări referitoare la opiniile politice ale candidatului, activitatea sindicală, religie, etnie, starea materială, originea socială sau care pot constitui discriminare în condițiile legii.</w:t>
      </w:r>
    </w:p>
    <w:p w14:paraId="67D1EC8E"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(6) Întrebările și răspunsurile la interviu se înregistrează sau se consemnează de secretarul comisiei, în anexa procesului verbal al procedurii de transfer, întocmită de secretarul comisiei și se semnează de membrii comisiei și de candidat. Înregistrarea interviului se păstrează, în condițiile legii, timp de minim un an de la data afișării rezultatelor procedurii de transfer derulată.</w:t>
      </w:r>
    </w:p>
    <w:p w14:paraId="7B6CF8D8"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(7) Interviul se notează pe baza criteriilor prevăzute la alin.(4) și a punctajelor stabilite de comisie pentru aceste criterii prin planul de interviu.</w:t>
      </w:r>
    </w:p>
    <w:p w14:paraId="430AA6AC"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(8) Membrii comisiei acordă punctaje pentru fiecare dintre criteriile prevăzute la alin.(4). Punctajele se acordă de către fiecare membru al comisiei în parte, pentru fiecare candidat și se notează în fișa individuală.</w:t>
      </w:r>
    </w:p>
    <w:p w14:paraId="0AA8F06D"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(9) Sunt declarați admiși la interviu, candidații care au obținut minim 50 de puncte pentru funcțiile de execuție și minim 70 puncte pentru funcțiile de conducere. Se consideră admis candidatul care a obținut cel mai mare punctaj dintre candidații care au concurat  pentru aceeași funcție publică, cu condiția ca aceștia să fi obținut punctajul minim necesar.</w:t>
      </w:r>
    </w:p>
    <w:p w14:paraId="0E1C3435"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(10) În caz de egalitate a punctajului, prevalează criteriul de la alin.(4), lit.c).</w:t>
      </w:r>
    </w:p>
    <w:p w14:paraId="6B0B87FA"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(11) La finalul susținerii interviului se va incheia raportul final al procedurii de transfer în cuprinsul căruia se va consemna desfășurarea procedurii și rezultatul acesteia.</w:t>
      </w:r>
    </w:p>
    <w:p w14:paraId="346C80E6" w14:textId="37A95733"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 xml:space="preserve">(12) Rezultatul interviului se publică în 24 ore de la data susținerii pe pagina de internet și la avizierul AJOFM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 xml:space="preserve"> și nu este supus contestării.</w:t>
      </w:r>
    </w:p>
    <w:p w14:paraId="4199D3CB" w14:textId="1E1AC0B4"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 xml:space="preserve">(13) Cererea de transfer însoțită de raportul final al procedurii de transfer se va comunica, în vederea aprobării, directorului executiv al AJOFM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w:t>
      </w:r>
    </w:p>
    <w:p w14:paraId="455EDD3A"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p>
    <w:p w14:paraId="6359C2AD"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Secțiunea a 3-a</w:t>
      </w:r>
    </w:p>
    <w:p w14:paraId="058E4111"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Aprobarea transferului</w:t>
      </w:r>
    </w:p>
    <w:p w14:paraId="3D62D0F7" w14:textId="0016C45B"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 17</w:t>
      </w:r>
      <w:r w:rsidRPr="007115F5">
        <w:rPr>
          <w:rFonts w:eastAsia="Calibri"/>
          <w:color w:val="000000" w:themeColor="text1"/>
          <w:kern w:val="2"/>
          <w:lang w:val="ro-RO"/>
          <w14:ligatures w14:val="standardContextual"/>
        </w:rPr>
        <w:t xml:space="preserve"> – (1) În situația aprobării transferului funcționarului public declarat admis, pe baza rezultatului evaluării, ca urmare a promovării tuturor etapelor procedurii de selecție prevăzute la art.13, AJOFM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 xml:space="preserve"> înștiințează cu celeritate autoritatea sau instituția publică în cadrul căreia își desfășoară activitatea funcționarul public, despre aprobarea cererii de transfer.</w:t>
      </w:r>
    </w:p>
    <w:p w14:paraId="12F75885"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(2) Data de la care operează transferul nu poate depăși 30 de zile calendaristice de la data emiterii actului administrativ.</w:t>
      </w:r>
    </w:p>
    <w:p w14:paraId="360B900D"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CAPITOLUL III</w:t>
      </w:r>
    </w:p>
    <w:p w14:paraId="74A2233A" w14:textId="77777777" w:rsidR="007115F5" w:rsidRPr="00A77914" w:rsidRDefault="007115F5" w:rsidP="00A77914">
      <w:pPr>
        <w:tabs>
          <w:tab w:val="left" w:pos="-360"/>
        </w:tabs>
        <w:ind w:left="0"/>
        <w:jc w:val="center"/>
        <w:rPr>
          <w:rFonts w:eastAsia="Calibri"/>
          <w:b/>
          <w:bCs/>
          <w:color w:val="000000" w:themeColor="text1"/>
          <w:kern w:val="2"/>
          <w:lang w:val="ro-RO"/>
          <w14:ligatures w14:val="standardContextual"/>
        </w:rPr>
      </w:pPr>
      <w:r w:rsidRPr="00A77914">
        <w:rPr>
          <w:rFonts w:eastAsia="Calibri"/>
          <w:b/>
          <w:bCs/>
          <w:color w:val="000000" w:themeColor="text1"/>
          <w:kern w:val="2"/>
          <w:lang w:val="ro-RO"/>
          <w14:ligatures w14:val="standardContextual"/>
        </w:rPr>
        <w:t>Dispoziții finale</w:t>
      </w:r>
    </w:p>
    <w:p w14:paraId="0B2E667A"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 18</w:t>
      </w:r>
      <w:r w:rsidRPr="007115F5">
        <w:rPr>
          <w:rFonts w:eastAsia="Calibri"/>
          <w:color w:val="000000" w:themeColor="text1"/>
          <w:kern w:val="2"/>
          <w:lang w:val="ro-RO"/>
          <w14:ligatures w14:val="standardContextual"/>
        </w:rPr>
        <w:t xml:space="preserve"> – (1)Termenele prevăzute în prezentul Regulament-cadru se calculează avându-se în vedere inclusiv ziua când au început și ziua când s-au sfârșit.</w:t>
      </w:r>
    </w:p>
    <w:p w14:paraId="0E1E1A49"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(2) Termenul care se sfârșește într-o zi nelucrătoare sau sărbătoare legală se va prelungi până la sfârșitul primei zi de lucru următoare.</w:t>
      </w:r>
    </w:p>
    <w:p w14:paraId="33E30C55"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Art.19</w:t>
      </w:r>
      <w:r w:rsidRPr="007115F5">
        <w:rPr>
          <w:rFonts w:eastAsia="Calibri"/>
          <w:color w:val="000000" w:themeColor="text1"/>
          <w:kern w:val="2"/>
          <w:lang w:val="ro-RO"/>
          <w14:ligatures w14:val="standardContextual"/>
        </w:rPr>
        <w:t xml:space="preserve"> – În situația în care funcția nu a fost ocupată, se poate relua procedura de selecție în condițiile prevăzute la art.6.</w:t>
      </w:r>
    </w:p>
    <w:p w14:paraId="285CD9FE" w14:textId="783268A9" w:rsidR="007115F5" w:rsidRPr="007115F5" w:rsidRDefault="007115F5" w:rsidP="007115F5">
      <w:pPr>
        <w:tabs>
          <w:tab w:val="left" w:pos="-360"/>
        </w:tabs>
        <w:ind w:left="0"/>
        <w:rPr>
          <w:rFonts w:eastAsia="Calibri"/>
          <w:color w:val="000000" w:themeColor="text1"/>
          <w:kern w:val="2"/>
          <w:lang w:val="ro-RO"/>
          <w14:ligatures w14:val="standardContextual"/>
        </w:rPr>
      </w:pPr>
      <w:r w:rsidRPr="00A77914">
        <w:rPr>
          <w:rFonts w:eastAsia="Calibri"/>
          <w:b/>
          <w:bCs/>
          <w:color w:val="000000" w:themeColor="text1"/>
          <w:kern w:val="2"/>
          <w:lang w:val="ro-RO"/>
          <w14:ligatures w14:val="standardContextual"/>
        </w:rPr>
        <w:t>Art. 20</w:t>
      </w:r>
      <w:r w:rsidRPr="007115F5">
        <w:rPr>
          <w:rFonts w:eastAsia="Calibri"/>
          <w:color w:val="000000" w:themeColor="text1"/>
          <w:kern w:val="2"/>
          <w:lang w:val="ro-RO"/>
          <w14:ligatures w14:val="standardContextual"/>
        </w:rPr>
        <w:t xml:space="preserve"> – Prezentul regulament-cadru se completează cu prevederile legale în vigoare cuprinse în actele normative ce reglementează activitatea funcționarilor publici.</w:t>
      </w:r>
    </w:p>
    <w:p w14:paraId="2E84776D" w14:textId="77777777" w:rsidR="007115F5" w:rsidRDefault="007115F5" w:rsidP="007115F5">
      <w:pPr>
        <w:tabs>
          <w:tab w:val="left" w:pos="-360"/>
        </w:tabs>
        <w:ind w:left="0"/>
        <w:rPr>
          <w:rFonts w:eastAsia="Calibri"/>
          <w:color w:val="000000" w:themeColor="text1"/>
          <w:kern w:val="2"/>
          <w:lang w:val="ro-RO"/>
          <w14:ligatures w14:val="standardContextual"/>
        </w:rPr>
      </w:pPr>
    </w:p>
    <w:p w14:paraId="220A467F" w14:textId="77777777" w:rsidR="00423421" w:rsidRDefault="00423421" w:rsidP="007115F5">
      <w:pPr>
        <w:tabs>
          <w:tab w:val="left" w:pos="-360"/>
        </w:tabs>
        <w:ind w:left="0"/>
        <w:rPr>
          <w:rFonts w:eastAsia="Calibri"/>
          <w:color w:val="000000" w:themeColor="text1"/>
          <w:kern w:val="2"/>
          <w:lang w:val="ro-RO"/>
          <w14:ligatures w14:val="standardContextual"/>
        </w:rPr>
      </w:pPr>
    </w:p>
    <w:p w14:paraId="3742E5A7" w14:textId="77777777" w:rsidR="00423421" w:rsidRDefault="00423421" w:rsidP="007115F5">
      <w:pPr>
        <w:tabs>
          <w:tab w:val="left" w:pos="-360"/>
        </w:tabs>
        <w:ind w:left="0"/>
        <w:rPr>
          <w:rFonts w:eastAsia="Calibri"/>
          <w:color w:val="000000" w:themeColor="text1"/>
          <w:kern w:val="2"/>
          <w:lang w:val="ro-RO"/>
          <w14:ligatures w14:val="standardContextual"/>
        </w:rPr>
      </w:pPr>
    </w:p>
    <w:p w14:paraId="38C4F962" w14:textId="77777777" w:rsidR="00423421" w:rsidRDefault="00423421" w:rsidP="007115F5">
      <w:pPr>
        <w:tabs>
          <w:tab w:val="left" w:pos="-360"/>
        </w:tabs>
        <w:ind w:left="0"/>
        <w:rPr>
          <w:rFonts w:eastAsia="Calibri"/>
          <w:color w:val="000000" w:themeColor="text1"/>
          <w:kern w:val="2"/>
          <w:lang w:val="ro-RO"/>
          <w14:ligatures w14:val="standardContextual"/>
        </w:rPr>
      </w:pPr>
    </w:p>
    <w:p w14:paraId="4D6763F3" w14:textId="77777777" w:rsidR="00423421" w:rsidRDefault="00423421" w:rsidP="007115F5">
      <w:pPr>
        <w:tabs>
          <w:tab w:val="left" w:pos="-360"/>
        </w:tabs>
        <w:ind w:left="0"/>
        <w:rPr>
          <w:rFonts w:eastAsia="Calibri"/>
          <w:color w:val="000000" w:themeColor="text1"/>
          <w:kern w:val="2"/>
          <w:lang w:val="ro-RO"/>
          <w14:ligatures w14:val="standardContextual"/>
        </w:rPr>
      </w:pPr>
    </w:p>
    <w:p w14:paraId="44D9ADFB" w14:textId="77777777" w:rsidR="00423421" w:rsidRDefault="00423421" w:rsidP="007115F5">
      <w:pPr>
        <w:tabs>
          <w:tab w:val="left" w:pos="-360"/>
        </w:tabs>
        <w:ind w:left="0"/>
        <w:rPr>
          <w:rFonts w:eastAsia="Calibri"/>
          <w:color w:val="000000" w:themeColor="text1"/>
          <w:kern w:val="2"/>
          <w:lang w:val="ro-RO"/>
          <w14:ligatures w14:val="standardContextual"/>
        </w:rPr>
      </w:pPr>
    </w:p>
    <w:p w14:paraId="52DC6EC3" w14:textId="77777777" w:rsidR="00423421" w:rsidRDefault="00423421" w:rsidP="007115F5">
      <w:pPr>
        <w:tabs>
          <w:tab w:val="left" w:pos="-360"/>
        </w:tabs>
        <w:ind w:left="0"/>
        <w:rPr>
          <w:rFonts w:eastAsia="Calibri"/>
          <w:color w:val="000000" w:themeColor="text1"/>
          <w:kern w:val="2"/>
          <w:lang w:val="ro-RO"/>
          <w14:ligatures w14:val="standardContextual"/>
        </w:rPr>
      </w:pPr>
    </w:p>
    <w:p w14:paraId="173E430F" w14:textId="77777777" w:rsidR="00423421" w:rsidRDefault="00423421" w:rsidP="007115F5">
      <w:pPr>
        <w:tabs>
          <w:tab w:val="left" w:pos="-360"/>
        </w:tabs>
        <w:ind w:left="0"/>
        <w:rPr>
          <w:rFonts w:eastAsia="Calibri"/>
          <w:color w:val="000000" w:themeColor="text1"/>
          <w:kern w:val="2"/>
          <w:lang w:val="ro-RO"/>
          <w14:ligatures w14:val="standardContextual"/>
        </w:rPr>
      </w:pPr>
    </w:p>
    <w:p w14:paraId="5AE6E626" w14:textId="77777777" w:rsidR="00423421" w:rsidRDefault="00423421" w:rsidP="007115F5">
      <w:pPr>
        <w:tabs>
          <w:tab w:val="left" w:pos="-360"/>
        </w:tabs>
        <w:ind w:left="0"/>
        <w:rPr>
          <w:rFonts w:eastAsia="Calibri"/>
          <w:color w:val="000000" w:themeColor="text1"/>
          <w:kern w:val="2"/>
          <w:lang w:val="ro-RO"/>
          <w14:ligatures w14:val="standardContextual"/>
        </w:rPr>
      </w:pPr>
    </w:p>
    <w:p w14:paraId="535F3520" w14:textId="77777777" w:rsidR="004A1DE3" w:rsidRDefault="004A1DE3" w:rsidP="007115F5">
      <w:pPr>
        <w:tabs>
          <w:tab w:val="left" w:pos="-360"/>
        </w:tabs>
        <w:ind w:left="0"/>
        <w:rPr>
          <w:rFonts w:eastAsia="Calibri"/>
          <w:color w:val="000000" w:themeColor="text1"/>
          <w:kern w:val="2"/>
          <w:lang w:val="ro-RO"/>
          <w14:ligatures w14:val="standardContextual"/>
        </w:rPr>
      </w:pPr>
    </w:p>
    <w:p w14:paraId="5C2EBAA6" w14:textId="77777777" w:rsidR="004A1DE3" w:rsidRDefault="004A1DE3" w:rsidP="007115F5">
      <w:pPr>
        <w:tabs>
          <w:tab w:val="left" w:pos="-360"/>
        </w:tabs>
        <w:ind w:left="0"/>
        <w:rPr>
          <w:rFonts w:eastAsia="Calibri"/>
          <w:color w:val="000000" w:themeColor="text1"/>
          <w:kern w:val="2"/>
          <w:lang w:val="ro-RO"/>
          <w14:ligatures w14:val="standardContextual"/>
        </w:rPr>
      </w:pPr>
    </w:p>
    <w:p w14:paraId="38704D16" w14:textId="77777777" w:rsidR="004A1DE3" w:rsidRPr="007115F5" w:rsidRDefault="004A1DE3" w:rsidP="007115F5">
      <w:pPr>
        <w:tabs>
          <w:tab w:val="left" w:pos="-360"/>
        </w:tabs>
        <w:ind w:left="0"/>
        <w:rPr>
          <w:rFonts w:eastAsia="Calibri"/>
          <w:color w:val="000000" w:themeColor="text1"/>
          <w:kern w:val="2"/>
          <w:lang w:val="ro-RO"/>
          <w14:ligatures w14:val="standardContextual"/>
        </w:rPr>
      </w:pPr>
    </w:p>
    <w:p w14:paraId="2AE65648"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p>
    <w:p w14:paraId="6188DF25"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p>
    <w:p w14:paraId="5AE58A39" w14:textId="77777777" w:rsidR="007115F5" w:rsidRPr="007115F5" w:rsidRDefault="007115F5" w:rsidP="00A77914">
      <w:pPr>
        <w:tabs>
          <w:tab w:val="left" w:pos="-360"/>
        </w:tabs>
        <w:ind w:left="0"/>
        <w:jc w:val="right"/>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lastRenderedPageBreak/>
        <w:t>Anexa 1 la regulamentul-cadru privind ocuparea unei funcții publice</w:t>
      </w:r>
    </w:p>
    <w:p w14:paraId="32F4893F" w14:textId="7B43A1D5" w:rsidR="007115F5" w:rsidRPr="007115F5" w:rsidRDefault="007115F5" w:rsidP="00A77914">
      <w:pPr>
        <w:tabs>
          <w:tab w:val="left" w:pos="-360"/>
        </w:tabs>
        <w:ind w:left="0"/>
        <w:jc w:val="right"/>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 xml:space="preserve"> prin transfer din cadrul AJOFM </w:t>
      </w:r>
      <w:r w:rsidR="003E57DA">
        <w:rPr>
          <w:rFonts w:eastAsia="Calibri"/>
          <w:color w:val="000000" w:themeColor="text1"/>
          <w:kern w:val="2"/>
          <w:lang w:val="ro-RO"/>
          <w14:ligatures w14:val="standardContextual"/>
        </w:rPr>
        <w:t>Gorj</w:t>
      </w:r>
    </w:p>
    <w:p w14:paraId="6A41F5E0"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p>
    <w:p w14:paraId="7F8270DB" w14:textId="77777777" w:rsidR="007115F5" w:rsidRPr="007115F5" w:rsidRDefault="007115F5" w:rsidP="00A77914">
      <w:pPr>
        <w:tabs>
          <w:tab w:val="left" w:pos="-360"/>
        </w:tabs>
        <w:ind w:left="0"/>
        <w:jc w:val="center"/>
        <w:rPr>
          <w:rFonts w:eastAsia="Calibri"/>
          <w:color w:val="000000" w:themeColor="text1"/>
          <w:kern w:val="2"/>
          <w:lang w:val="ro-RO"/>
          <w14:ligatures w14:val="standardContextual"/>
        </w:rPr>
      </w:pPr>
    </w:p>
    <w:p w14:paraId="4A3083A2" w14:textId="77777777" w:rsidR="007115F5" w:rsidRPr="007115F5" w:rsidRDefault="007115F5" w:rsidP="00A77914">
      <w:pPr>
        <w:tabs>
          <w:tab w:val="left" w:pos="-360"/>
        </w:tabs>
        <w:ind w:left="0"/>
        <w:jc w:val="center"/>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CERERE DE TRANSFER</w:t>
      </w:r>
    </w:p>
    <w:p w14:paraId="4236C447" w14:textId="7ABAE0FB"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 xml:space="preserve">Subsemnatul/a__________________________________________domiciliat/ă în ___________________________________________________________________, posesor al CI seria _____nr._______________ angajat în prezent  în cadrul ________________________________________ pe funcția publică de _________________________________________formulez prezenta cerere, în vederea realizării transferului la cerere/în interesul serviciului ( se menționează situația aplicabila) pe funcția publică de ______________________________din cadrul compartimentului __________________________________________________ al AJOFM Ia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 cu respectarea dispozițiilor art. 502, alin.(1), lit.c) și art. 506, alin.(1), lit. b), din OUG nr. 57/2019 privind Codul Administrativ, cu modificările și completările ulterioare.</w:t>
      </w:r>
    </w:p>
    <w:p w14:paraId="4A14BD3F"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Anexez prezentei următoarele documente:</w:t>
      </w:r>
    </w:p>
    <w:p w14:paraId="18ACF17B"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__________________________________________</w:t>
      </w:r>
    </w:p>
    <w:p w14:paraId="3DB8BC1F"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__________________________________________</w:t>
      </w:r>
    </w:p>
    <w:p w14:paraId="7315D331"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__________________________________________</w:t>
      </w:r>
    </w:p>
    <w:p w14:paraId="2753E827"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__________________________________________</w:t>
      </w:r>
    </w:p>
    <w:p w14:paraId="58FDE2A1"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p>
    <w:p w14:paraId="627E448E" w14:textId="750BC384"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 xml:space="preserve">Prin prezenta sunt/nu sunt de acord ca datele mele cu caracter personal să fie prelucrate de către AJOFM </w:t>
      </w:r>
      <w:r w:rsidR="003E57DA">
        <w:rPr>
          <w:rFonts w:eastAsia="Calibri"/>
          <w:color w:val="000000" w:themeColor="text1"/>
          <w:kern w:val="2"/>
          <w:lang w:val="ro-RO"/>
          <w14:ligatures w14:val="standardContextual"/>
        </w:rPr>
        <w:t>Gorj</w:t>
      </w:r>
      <w:r w:rsidRPr="007115F5">
        <w:rPr>
          <w:rFonts w:eastAsia="Calibri"/>
          <w:color w:val="000000" w:themeColor="text1"/>
          <w:kern w:val="2"/>
          <w:lang w:val="ro-RO"/>
          <w14:ligatures w14:val="standardContextual"/>
        </w:rPr>
        <w:t>, în scopul derulării procedurii de transfer, pentru organizarea căreia a fost publicat anunțul pe pagina de internet a instituției și pentru că am calitatea de aplicant, cu respectarea prevederilor regulamentului (UE) 2016/679 al Parlamentului European și al Consiliului din 27 aprilie 2016 (GDPR) privind protecția persoanelor fizice în ceea ce privește prelucrarea datelor cu caracter personal și privind libera circulație a acestor date.</w:t>
      </w:r>
    </w:p>
    <w:p w14:paraId="2118EE61"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p>
    <w:p w14:paraId="547DBD34"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r w:rsidRPr="007115F5">
        <w:rPr>
          <w:rFonts w:eastAsia="Calibri"/>
          <w:color w:val="000000" w:themeColor="text1"/>
          <w:kern w:val="2"/>
          <w:lang w:val="ro-RO"/>
          <w14:ligatures w14:val="standardContextual"/>
        </w:rPr>
        <w:t>Data</w:t>
      </w:r>
      <w:r w:rsidRPr="007115F5">
        <w:rPr>
          <w:rFonts w:eastAsia="Calibri"/>
          <w:color w:val="000000" w:themeColor="text1"/>
          <w:kern w:val="2"/>
          <w:lang w:val="ro-RO"/>
          <w14:ligatures w14:val="standardContextual"/>
        </w:rPr>
        <w:tab/>
      </w:r>
      <w:r w:rsidRPr="007115F5">
        <w:rPr>
          <w:rFonts w:eastAsia="Calibri"/>
          <w:color w:val="000000" w:themeColor="text1"/>
          <w:kern w:val="2"/>
          <w:lang w:val="ro-RO"/>
          <w14:ligatures w14:val="standardContextual"/>
        </w:rPr>
        <w:tab/>
      </w:r>
      <w:r w:rsidRPr="007115F5">
        <w:rPr>
          <w:rFonts w:eastAsia="Calibri"/>
          <w:color w:val="000000" w:themeColor="text1"/>
          <w:kern w:val="2"/>
          <w:lang w:val="ro-RO"/>
          <w14:ligatures w14:val="standardContextual"/>
        </w:rPr>
        <w:tab/>
      </w:r>
      <w:r w:rsidRPr="007115F5">
        <w:rPr>
          <w:rFonts w:eastAsia="Calibri"/>
          <w:color w:val="000000" w:themeColor="text1"/>
          <w:kern w:val="2"/>
          <w:lang w:val="ro-RO"/>
          <w14:ligatures w14:val="standardContextual"/>
        </w:rPr>
        <w:tab/>
        <w:t xml:space="preserve">   </w:t>
      </w:r>
      <w:r w:rsidRPr="007115F5">
        <w:rPr>
          <w:rFonts w:eastAsia="Calibri"/>
          <w:color w:val="000000" w:themeColor="text1"/>
          <w:kern w:val="2"/>
          <w:lang w:val="ro-RO"/>
          <w14:ligatures w14:val="standardContextual"/>
        </w:rPr>
        <w:tab/>
      </w:r>
      <w:r w:rsidRPr="007115F5">
        <w:rPr>
          <w:rFonts w:eastAsia="Calibri"/>
          <w:color w:val="000000" w:themeColor="text1"/>
          <w:kern w:val="2"/>
          <w:lang w:val="ro-RO"/>
          <w14:ligatures w14:val="standardContextual"/>
        </w:rPr>
        <w:tab/>
      </w:r>
      <w:r w:rsidRPr="007115F5">
        <w:rPr>
          <w:rFonts w:eastAsia="Calibri"/>
          <w:color w:val="000000" w:themeColor="text1"/>
          <w:kern w:val="2"/>
          <w:lang w:val="ro-RO"/>
          <w14:ligatures w14:val="standardContextual"/>
        </w:rPr>
        <w:tab/>
      </w:r>
      <w:r w:rsidRPr="007115F5">
        <w:rPr>
          <w:rFonts w:eastAsia="Calibri"/>
          <w:color w:val="000000" w:themeColor="text1"/>
          <w:kern w:val="2"/>
          <w:lang w:val="ro-RO"/>
          <w14:ligatures w14:val="standardContextual"/>
        </w:rPr>
        <w:tab/>
        <w:t xml:space="preserve">       Semnatura</w:t>
      </w:r>
    </w:p>
    <w:p w14:paraId="76D0560B" w14:textId="77777777" w:rsidR="007115F5" w:rsidRPr="007115F5" w:rsidRDefault="007115F5" w:rsidP="007115F5">
      <w:pPr>
        <w:tabs>
          <w:tab w:val="left" w:pos="-360"/>
        </w:tabs>
        <w:ind w:left="0"/>
        <w:rPr>
          <w:rFonts w:eastAsia="Calibri"/>
          <w:color w:val="000000" w:themeColor="text1"/>
          <w:kern w:val="2"/>
          <w:lang w:val="ro-RO"/>
          <w14:ligatures w14:val="standardContextual"/>
        </w:rPr>
      </w:pPr>
    </w:p>
    <w:p w14:paraId="2547A9E5" w14:textId="3181E240" w:rsidR="00BD1FEF" w:rsidRDefault="00672FDB" w:rsidP="007115F5">
      <w:pPr>
        <w:tabs>
          <w:tab w:val="left" w:pos="-360"/>
        </w:tabs>
        <w:ind w:left="0"/>
        <w:rPr>
          <w:rFonts w:eastAsia="Calibri"/>
          <w:kern w:val="2"/>
          <w:lang w:val="ro-RO"/>
          <w14:ligatures w14:val="standardContextual"/>
        </w:rPr>
      </w:pPr>
      <w:r>
        <w:rPr>
          <w:rFonts w:eastAsia="Calibri"/>
          <w:color w:val="000000" w:themeColor="text1"/>
          <w:kern w:val="2"/>
          <w:lang w:val="ro-RO"/>
          <w14:ligatures w14:val="standardContextual"/>
        </w:rPr>
        <w:tab/>
      </w:r>
      <w:r>
        <w:rPr>
          <w:rFonts w:eastAsia="Calibri"/>
          <w:color w:val="000000" w:themeColor="text1"/>
          <w:kern w:val="2"/>
          <w:lang w:val="ro-RO"/>
          <w14:ligatures w14:val="standardContextual"/>
        </w:rPr>
        <w:tab/>
      </w:r>
      <w:r>
        <w:rPr>
          <w:rFonts w:eastAsia="Calibri"/>
          <w:color w:val="000000" w:themeColor="text1"/>
          <w:kern w:val="2"/>
          <w:lang w:val="ro-RO"/>
          <w14:ligatures w14:val="standardContextual"/>
        </w:rPr>
        <w:tab/>
      </w:r>
      <w:r>
        <w:rPr>
          <w:rFonts w:eastAsia="Calibri"/>
          <w:color w:val="000000" w:themeColor="text1"/>
          <w:kern w:val="2"/>
          <w:lang w:val="ro-RO"/>
          <w14:ligatures w14:val="standardContextual"/>
        </w:rPr>
        <w:tab/>
      </w:r>
      <w:r>
        <w:rPr>
          <w:rFonts w:eastAsia="Calibri"/>
          <w:color w:val="000000" w:themeColor="text1"/>
          <w:kern w:val="2"/>
          <w:lang w:val="ro-RO"/>
          <w14:ligatures w14:val="standardContextual"/>
        </w:rPr>
        <w:tab/>
      </w:r>
      <w:r>
        <w:rPr>
          <w:rFonts w:eastAsia="Calibri"/>
          <w:color w:val="000000" w:themeColor="text1"/>
          <w:kern w:val="2"/>
          <w:lang w:val="ro-RO"/>
          <w14:ligatures w14:val="standardContextual"/>
        </w:rPr>
        <w:tab/>
      </w:r>
      <w:r>
        <w:rPr>
          <w:rFonts w:eastAsia="Calibri"/>
          <w:color w:val="000000" w:themeColor="text1"/>
          <w:kern w:val="2"/>
          <w:lang w:val="ro-RO"/>
          <w14:ligatures w14:val="standardContextual"/>
        </w:rPr>
        <w:tab/>
      </w:r>
      <w:r w:rsidR="00DC0874">
        <w:rPr>
          <w:rFonts w:eastAsia="Calibri"/>
          <w:color w:val="000000" w:themeColor="text1"/>
          <w:kern w:val="2"/>
          <w:lang w:val="ro-RO"/>
          <w14:ligatures w14:val="standardContextual"/>
        </w:rPr>
        <w:t xml:space="preserve">      </w:t>
      </w:r>
    </w:p>
    <w:sectPr w:rsidR="00BD1FEF" w:rsidSect="00EE349F">
      <w:headerReference w:type="even" r:id="rId8"/>
      <w:headerReference w:type="default" r:id="rId9"/>
      <w:footerReference w:type="even" r:id="rId10"/>
      <w:footerReference w:type="default" r:id="rId11"/>
      <w:headerReference w:type="first" r:id="rId12"/>
      <w:footerReference w:type="first" r:id="rId13"/>
      <w:pgSz w:w="11900" w:h="16840"/>
      <w:pgMar w:top="450" w:right="830" w:bottom="450" w:left="1985"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6D891" w14:textId="77777777" w:rsidR="008065F6" w:rsidRDefault="008065F6">
      <w:pPr>
        <w:spacing w:after="0" w:line="240" w:lineRule="auto"/>
      </w:pPr>
      <w:r>
        <w:separator/>
      </w:r>
    </w:p>
  </w:endnote>
  <w:endnote w:type="continuationSeparator" w:id="0">
    <w:p w14:paraId="26843BFB" w14:textId="77777777" w:rsidR="008065F6" w:rsidRDefault="0080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C120" w14:textId="77777777" w:rsidR="00F11C4B" w:rsidRDefault="00F11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1E832" w14:textId="487C704D" w:rsidR="00EE349F" w:rsidRDefault="00EE349F" w:rsidP="00EE349F">
    <w:pPr>
      <w:shd w:val="clear" w:color="auto" w:fill="FFFFFF"/>
      <w:tabs>
        <w:tab w:val="center" w:pos="4320"/>
        <w:tab w:val="right" w:pos="8640"/>
      </w:tabs>
      <w:spacing w:after="0"/>
      <w:ind w:left="0" w:hanging="709"/>
      <w:rPr>
        <w:sz w:val="14"/>
        <w:szCs w:val="14"/>
        <w:lang w:val="ro-RO"/>
      </w:rPr>
    </w:pPr>
    <w:r w:rsidRPr="00BD1FEF">
      <w:rPr>
        <w:noProof/>
        <w:sz w:val="14"/>
        <w:szCs w:val="14"/>
        <w:lang w:val="ro-RO" w:eastAsia="ro-RO"/>
      </w:rPr>
      <mc:AlternateContent>
        <mc:Choice Requires="wps">
          <w:drawing>
            <wp:anchor distT="0" distB="0" distL="114300" distR="114300" simplePos="0" relativeHeight="251668480" behindDoc="0" locked="0" layoutInCell="1" allowOverlap="1" wp14:anchorId="3FFE5775" wp14:editId="0782C6B1">
              <wp:simplePos x="0" y="0"/>
              <wp:positionH relativeFrom="column">
                <wp:posOffset>-488188</wp:posOffset>
              </wp:positionH>
              <wp:positionV relativeFrom="paragraph">
                <wp:posOffset>-13335</wp:posOffset>
              </wp:positionV>
              <wp:extent cx="5067300" cy="0"/>
              <wp:effectExtent l="0" t="0" r="0" b="0"/>
              <wp:wrapNone/>
              <wp:docPr id="1298642072" name="Straight Connector 2"/>
              <wp:cNvGraphicFramePr/>
              <a:graphic xmlns:a="http://schemas.openxmlformats.org/drawingml/2006/main">
                <a:graphicData uri="http://schemas.microsoft.com/office/word/2010/wordprocessingShape">
                  <wps:wsp>
                    <wps:cNvCnPr/>
                    <wps:spPr>
                      <a:xfrm flipV="1">
                        <a:off x="0" y="0"/>
                        <a:ext cx="5067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4C85FD"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1.05pt" to="36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" strokecolor="#4a7ebb"/>
          </w:pict>
        </mc:Fallback>
      </mc:AlternateContent>
    </w:r>
  </w:p>
  <w:p w14:paraId="65FFB713" w14:textId="77777777" w:rsidR="00F11C4B" w:rsidRPr="00AF1DBE" w:rsidRDefault="00F11C4B" w:rsidP="00F11C4B">
    <w:pPr>
      <w:pStyle w:val="Footer"/>
      <w:spacing w:after="0" w:line="240" w:lineRule="auto"/>
      <w:ind w:left="0"/>
      <w:jc w:val="left"/>
      <w:rPr>
        <w:sz w:val="16"/>
        <w:szCs w:val="14"/>
        <w:lang w:val="ro-RO"/>
      </w:rPr>
    </w:pPr>
    <w:r w:rsidRPr="00AF1DBE">
      <w:rPr>
        <w:sz w:val="14"/>
        <w:szCs w:val="14"/>
        <w:lang w:val="ro-RO"/>
      </w:rPr>
      <w:t>AGENŢIA JUDEŢEANĂ PENTRU OCUPAREA FORŢEI DE MUNCĂ GORJ</w:t>
    </w:r>
    <w:r w:rsidRPr="00AF1DBE">
      <w:rPr>
        <w:sz w:val="14"/>
        <w:szCs w:val="14"/>
        <w:lang w:val="ro-RO"/>
      </w:rPr>
      <w:tab/>
      <w:t xml:space="preserve">               </w:t>
    </w:r>
    <w:r w:rsidRPr="00AF1DBE">
      <w:rPr>
        <w:sz w:val="14"/>
        <w:szCs w:val="14"/>
        <w:lang w:val="ro-RO"/>
      </w:rPr>
      <w:tab/>
      <w:t xml:space="preserve"> </w:t>
    </w:r>
  </w:p>
  <w:p w14:paraId="1E1F3490" w14:textId="77777777" w:rsidR="00F11C4B" w:rsidRDefault="00F11C4B" w:rsidP="00F11C4B">
    <w:pPr>
      <w:pStyle w:val="Footer"/>
      <w:spacing w:after="0" w:line="240" w:lineRule="auto"/>
      <w:ind w:left="0"/>
      <w:rPr>
        <w:sz w:val="16"/>
        <w:szCs w:val="14"/>
      </w:rPr>
    </w:pPr>
    <w:proofErr w:type="spellStart"/>
    <w:r w:rsidRPr="000A0635">
      <w:rPr>
        <w:sz w:val="14"/>
        <w:szCs w:val="14"/>
      </w:rPr>
      <w:t>Str.</w:t>
    </w:r>
    <w:r>
      <w:rPr>
        <w:sz w:val="14"/>
        <w:szCs w:val="14"/>
      </w:rPr>
      <w:t>Lt</w:t>
    </w:r>
    <w:proofErr w:type="spellEnd"/>
    <w:r>
      <w:rPr>
        <w:sz w:val="14"/>
        <w:szCs w:val="14"/>
      </w:rPr>
      <w:t>. Col. D. Petrescu</w:t>
    </w:r>
    <w:r w:rsidRPr="000A0635">
      <w:rPr>
        <w:sz w:val="14"/>
        <w:szCs w:val="14"/>
      </w:rPr>
      <w:t xml:space="preserve"> nr.</w:t>
    </w:r>
    <w:r>
      <w:rPr>
        <w:sz w:val="14"/>
        <w:szCs w:val="14"/>
      </w:rPr>
      <w:t>1</w:t>
    </w:r>
    <w:r w:rsidRPr="000A0635">
      <w:rPr>
        <w:sz w:val="14"/>
        <w:szCs w:val="14"/>
      </w:rPr>
      <w:t xml:space="preserve">, </w:t>
    </w:r>
    <w:proofErr w:type="spellStart"/>
    <w:r>
      <w:rPr>
        <w:sz w:val="14"/>
        <w:szCs w:val="14"/>
      </w:rPr>
      <w:t>Târgu</w:t>
    </w:r>
    <w:proofErr w:type="spellEnd"/>
    <w:r>
      <w:rPr>
        <w:sz w:val="14"/>
        <w:szCs w:val="14"/>
      </w:rPr>
      <w:t xml:space="preserve"> Jiu</w:t>
    </w:r>
  </w:p>
  <w:p w14:paraId="2E3037EE" w14:textId="77777777" w:rsidR="00F11C4B" w:rsidRDefault="00F11C4B" w:rsidP="00F11C4B">
    <w:pPr>
      <w:pStyle w:val="Footer"/>
      <w:spacing w:after="0" w:line="240" w:lineRule="auto"/>
      <w:ind w:left="0"/>
      <w:rPr>
        <w:sz w:val="16"/>
        <w:szCs w:val="14"/>
      </w:rPr>
    </w:pPr>
    <w:r w:rsidRPr="000A0635">
      <w:rPr>
        <w:sz w:val="14"/>
        <w:szCs w:val="14"/>
      </w:rPr>
      <w:t>Tel.: +4 02</w:t>
    </w:r>
    <w:r>
      <w:rPr>
        <w:sz w:val="14"/>
        <w:szCs w:val="14"/>
      </w:rPr>
      <w:t>53</w:t>
    </w:r>
    <w:r w:rsidRPr="000A0635">
      <w:rPr>
        <w:sz w:val="14"/>
        <w:szCs w:val="14"/>
      </w:rPr>
      <w:t xml:space="preserve"> </w:t>
    </w:r>
    <w:r>
      <w:rPr>
        <w:sz w:val="14"/>
        <w:szCs w:val="14"/>
      </w:rPr>
      <w:t>211.568</w:t>
    </w:r>
    <w:r w:rsidRPr="000A0635">
      <w:rPr>
        <w:sz w:val="14"/>
        <w:szCs w:val="14"/>
      </w:rPr>
      <w:t>; Fax: 025</w:t>
    </w:r>
    <w:r>
      <w:rPr>
        <w:sz w:val="14"/>
        <w:szCs w:val="14"/>
      </w:rPr>
      <w:t>3</w:t>
    </w:r>
    <w:r w:rsidRPr="000A0635">
      <w:rPr>
        <w:sz w:val="14"/>
        <w:szCs w:val="14"/>
      </w:rPr>
      <w:t xml:space="preserve"> </w:t>
    </w:r>
    <w:r>
      <w:rPr>
        <w:sz w:val="14"/>
        <w:szCs w:val="14"/>
      </w:rPr>
      <w:t>211.568</w:t>
    </w:r>
  </w:p>
  <w:p w14:paraId="0ADE611C" w14:textId="77777777" w:rsidR="00F11C4B" w:rsidRPr="00EC2776" w:rsidRDefault="00F11C4B" w:rsidP="00F11C4B">
    <w:pPr>
      <w:pStyle w:val="Footer"/>
      <w:spacing w:after="0" w:line="240" w:lineRule="auto"/>
      <w:ind w:left="0"/>
      <w:rPr>
        <w:sz w:val="16"/>
        <w:szCs w:val="14"/>
        <w:lang w:val="fr-FR"/>
      </w:rPr>
    </w:pPr>
    <w:proofErr w:type="gramStart"/>
    <w:r w:rsidRPr="00EC2776">
      <w:rPr>
        <w:sz w:val="14"/>
        <w:szCs w:val="14"/>
        <w:lang w:val="fr-FR"/>
      </w:rPr>
      <w:t>e-mail:</w:t>
    </w:r>
    <w:proofErr w:type="gramEnd"/>
    <w:r w:rsidRPr="00EC2776">
      <w:rPr>
        <w:sz w:val="14"/>
        <w:szCs w:val="14"/>
        <w:lang w:val="fr-FR"/>
      </w:rPr>
      <w:t xml:space="preserve"> </w:t>
    </w:r>
    <w:hyperlink r:id="rId1" w:history="1">
      <w:r w:rsidRPr="00EC2776">
        <w:rPr>
          <w:rStyle w:val="Hyperlink"/>
          <w:sz w:val="14"/>
          <w:szCs w:val="14"/>
          <w:lang w:val="fr-FR"/>
        </w:rPr>
        <w:t>ajofm.gj@anofm.gov.ro</w:t>
      </w:r>
    </w:hyperlink>
    <w:r w:rsidRPr="00EC2776">
      <w:rPr>
        <w:sz w:val="14"/>
        <w:szCs w:val="14"/>
        <w:lang w:val="fr-FR"/>
      </w:rPr>
      <w:t xml:space="preserve">; </w:t>
    </w:r>
  </w:p>
  <w:p w14:paraId="104012C4" w14:textId="77777777" w:rsidR="00F11C4B" w:rsidRPr="00046919" w:rsidRDefault="00F11C4B" w:rsidP="00F11C4B">
    <w:pPr>
      <w:pStyle w:val="Footer"/>
      <w:spacing w:after="0" w:line="240" w:lineRule="auto"/>
      <w:ind w:left="0"/>
      <w:rPr>
        <w:sz w:val="16"/>
        <w:szCs w:val="14"/>
      </w:rPr>
    </w:pPr>
    <w:hyperlink r:id="rId2" w:history="1">
      <w:r w:rsidRPr="00B92261">
        <w:rPr>
          <w:rStyle w:val="Hyperlink"/>
          <w:b/>
          <w:sz w:val="14"/>
          <w:szCs w:val="14"/>
        </w:rPr>
        <w:t>www.anofm.ro</w:t>
      </w:r>
    </w:hyperlink>
  </w:p>
  <w:p w14:paraId="58A13A9D" w14:textId="63D974B7" w:rsidR="00236D8D" w:rsidRPr="00443AE8" w:rsidRDefault="00236D8D" w:rsidP="00593947">
    <w:pPr>
      <w:pStyle w:val="Footer"/>
      <w:spacing w:after="0" w:line="240" w:lineRule="auto"/>
      <w:ind w:left="0"/>
      <w:rPr>
        <w:sz w:val="16"/>
        <w:szCs w:val="14"/>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E54B3A" w14:paraId="1DD798DC" w14:textId="77777777" w:rsidTr="00BD1FEF">
      <w:tc>
        <w:tcPr>
          <w:tcW w:w="6138" w:type="dxa"/>
        </w:tcPr>
        <w:p w14:paraId="73ECC568" w14:textId="7D687C21" w:rsidR="002F5DDC" w:rsidRPr="00035674" w:rsidRDefault="002F5DDC" w:rsidP="00E54B3A">
          <w:pPr>
            <w:pStyle w:val="Footer"/>
            <w:spacing w:after="0"/>
            <w:ind w:left="0"/>
            <w:rPr>
              <w:color w:val="17365D" w:themeColor="text2" w:themeShade="BF"/>
              <w:sz w:val="16"/>
              <w:szCs w:val="14"/>
              <w:lang w:val="ro-RO"/>
            </w:rPr>
          </w:pPr>
        </w:p>
        <w:p w14:paraId="134F8C03" w14:textId="77777777" w:rsidR="00F11C4B" w:rsidRPr="00AF1DBE" w:rsidRDefault="00F11C4B" w:rsidP="00F11C4B">
          <w:pPr>
            <w:pStyle w:val="Footer"/>
            <w:spacing w:after="0"/>
            <w:ind w:left="0"/>
            <w:jc w:val="left"/>
            <w:rPr>
              <w:sz w:val="16"/>
              <w:szCs w:val="14"/>
              <w:lang w:val="ro-RO"/>
            </w:rPr>
          </w:pPr>
          <w:r w:rsidRPr="00AF1DBE">
            <w:rPr>
              <w:sz w:val="14"/>
              <w:szCs w:val="14"/>
              <w:lang w:val="ro-RO"/>
            </w:rPr>
            <w:t>AGENŢIA JUDEŢEANĂ PENTRU OCUPAREA FORŢEI DE MUNCĂ GORJ</w:t>
          </w:r>
          <w:r w:rsidRPr="00AF1DBE">
            <w:rPr>
              <w:sz w:val="14"/>
              <w:szCs w:val="14"/>
              <w:lang w:val="ro-RO"/>
            </w:rPr>
            <w:tab/>
            <w:t xml:space="preserve">               </w:t>
          </w:r>
          <w:r w:rsidRPr="00AF1DBE">
            <w:rPr>
              <w:sz w:val="14"/>
              <w:szCs w:val="14"/>
              <w:lang w:val="ro-RO"/>
            </w:rPr>
            <w:tab/>
            <w:t xml:space="preserve"> </w:t>
          </w:r>
        </w:p>
        <w:p w14:paraId="6DBB0A35" w14:textId="77777777" w:rsidR="00F11C4B" w:rsidRDefault="00F11C4B" w:rsidP="00F11C4B">
          <w:pPr>
            <w:pStyle w:val="Footer"/>
            <w:spacing w:after="0"/>
            <w:ind w:left="0"/>
            <w:rPr>
              <w:sz w:val="16"/>
              <w:szCs w:val="14"/>
            </w:rPr>
          </w:pPr>
          <w:proofErr w:type="spellStart"/>
          <w:r w:rsidRPr="000A0635">
            <w:rPr>
              <w:sz w:val="14"/>
              <w:szCs w:val="14"/>
            </w:rPr>
            <w:t>Str.</w:t>
          </w:r>
          <w:r>
            <w:rPr>
              <w:sz w:val="14"/>
              <w:szCs w:val="14"/>
            </w:rPr>
            <w:t>Lt</w:t>
          </w:r>
          <w:proofErr w:type="spellEnd"/>
          <w:r>
            <w:rPr>
              <w:sz w:val="14"/>
              <w:szCs w:val="14"/>
            </w:rPr>
            <w:t>. Col. D. Petrescu</w:t>
          </w:r>
          <w:r w:rsidRPr="000A0635">
            <w:rPr>
              <w:sz w:val="14"/>
              <w:szCs w:val="14"/>
            </w:rPr>
            <w:t xml:space="preserve"> nr.</w:t>
          </w:r>
          <w:r>
            <w:rPr>
              <w:sz w:val="14"/>
              <w:szCs w:val="14"/>
            </w:rPr>
            <w:t>1</w:t>
          </w:r>
          <w:r w:rsidRPr="000A0635">
            <w:rPr>
              <w:sz w:val="14"/>
              <w:szCs w:val="14"/>
            </w:rPr>
            <w:t xml:space="preserve">, </w:t>
          </w:r>
          <w:proofErr w:type="spellStart"/>
          <w:r>
            <w:rPr>
              <w:sz w:val="14"/>
              <w:szCs w:val="14"/>
            </w:rPr>
            <w:t>Târgu</w:t>
          </w:r>
          <w:proofErr w:type="spellEnd"/>
          <w:r>
            <w:rPr>
              <w:sz w:val="14"/>
              <w:szCs w:val="14"/>
            </w:rPr>
            <w:t xml:space="preserve"> Jiu</w:t>
          </w:r>
        </w:p>
        <w:p w14:paraId="3B837928" w14:textId="77777777" w:rsidR="00F11C4B" w:rsidRDefault="00F11C4B" w:rsidP="00F11C4B">
          <w:pPr>
            <w:pStyle w:val="Footer"/>
            <w:spacing w:after="0"/>
            <w:ind w:left="0"/>
            <w:rPr>
              <w:sz w:val="16"/>
              <w:szCs w:val="14"/>
            </w:rPr>
          </w:pPr>
          <w:r w:rsidRPr="000A0635">
            <w:rPr>
              <w:sz w:val="14"/>
              <w:szCs w:val="14"/>
            </w:rPr>
            <w:t>Tel.: +4 02</w:t>
          </w:r>
          <w:r>
            <w:rPr>
              <w:sz w:val="14"/>
              <w:szCs w:val="14"/>
            </w:rPr>
            <w:t>53</w:t>
          </w:r>
          <w:r w:rsidRPr="000A0635">
            <w:rPr>
              <w:sz w:val="14"/>
              <w:szCs w:val="14"/>
            </w:rPr>
            <w:t xml:space="preserve"> </w:t>
          </w:r>
          <w:r>
            <w:rPr>
              <w:sz w:val="14"/>
              <w:szCs w:val="14"/>
            </w:rPr>
            <w:t>211.568</w:t>
          </w:r>
          <w:r w:rsidRPr="000A0635">
            <w:rPr>
              <w:sz w:val="14"/>
              <w:szCs w:val="14"/>
            </w:rPr>
            <w:t>; Fax: 025</w:t>
          </w:r>
          <w:r>
            <w:rPr>
              <w:sz w:val="14"/>
              <w:szCs w:val="14"/>
            </w:rPr>
            <w:t>3</w:t>
          </w:r>
          <w:r w:rsidRPr="000A0635">
            <w:rPr>
              <w:sz w:val="14"/>
              <w:szCs w:val="14"/>
            </w:rPr>
            <w:t xml:space="preserve"> </w:t>
          </w:r>
          <w:r>
            <w:rPr>
              <w:sz w:val="14"/>
              <w:szCs w:val="14"/>
            </w:rPr>
            <w:t>211.568</w:t>
          </w:r>
        </w:p>
        <w:p w14:paraId="3DCBCE92" w14:textId="77777777" w:rsidR="00F11C4B" w:rsidRPr="00EC2776" w:rsidRDefault="00F11C4B" w:rsidP="00F11C4B">
          <w:pPr>
            <w:pStyle w:val="Footer"/>
            <w:spacing w:after="0"/>
            <w:ind w:left="0"/>
            <w:rPr>
              <w:sz w:val="16"/>
              <w:szCs w:val="14"/>
              <w:lang w:val="fr-FR"/>
            </w:rPr>
          </w:pPr>
          <w:proofErr w:type="gramStart"/>
          <w:r w:rsidRPr="00EC2776">
            <w:rPr>
              <w:sz w:val="14"/>
              <w:szCs w:val="14"/>
              <w:lang w:val="fr-FR"/>
            </w:rPr>
            <w:t>e-mail:</w:t>
          </w:r>
          <w:proofErr w:type="gramEnd"/>
          <w:r w:rsidRPr="00EC2776">
            <w:rPr>
              <w:sz w:val="14"/>
              <w:szCs w:val="14"/>
              <w:lang w:val="fr-FR"/>
            </w:rPr>
            <w:t xml:space="preserve"> </w:t>
          </w:r>
          <w:hyperlink r:id="rId1" w:history="1">
            <w:r w:rsidRPr="00EC2776">
              <w:rPr>
                <w:rStyle w:val="Hyperlink"/>
                <w:sz w:val="14"/>
                <w:szCs w:val="14"/>
                <w:lang w:val="fr-FR"/>
              </w:rPr>
              <w:t>ajofm.gj@anofm.gov.ro</w:t>
            </w:r>
          </w:hyperlink>
          <w:r w:rsidRPr="00EC2776">
            <w:rPr>
              <w:sz w:val="14"/>
              <w:szCs w:val="14"/>
              <w:lang w:val="fr-FR"/>
            </w:rPr>
            <w:t xml:space="preserve">; </w:t>
          </w:r>
        </w:p>
        <w:p w14:paraId="4EC0851D" w14:textId="77777777" w:rsidR="00F11C4B" w:rsidRPr="00046919" w:rsidRDefault="00F11C4B" w:rsidP="00F11C4B">
          <w:pPr>
            <w:pStyle w:val="Footer"/>
            <w:spacing w:after="0"/>
            <w:ind w:left="0"/>
            <w:rPr>
              <w:sz w:val="16"/>
              <w:szCs w:val="14"/>
            </w:rPr>
          </w:pPr>
          <w:hyperlink r:id="rId2" w:history="1">
            <w:r w:rsidRPr="00B92261">
              <w:rPr>
                <w:rStyle w:val="Hyperlink"/>
                <w:b/>
                <w:sz w:val="14"/>
                <w:szCs w:val="14"/>
              </w:rPr>
              <w:t>www.anofm.ro</w:t>
            </w:r>
          </w:hyperlink>
        </w:p>
        <w:p w14:paraId="7B24174F" w14:textId="4CA35BB3" w:rsidR="00E54B3A" w:rsidRDefault="00E54B3A" w:rsidP="00F11C4B">
          <w:pPr>
            <w:shd w:val="clear" w:color="auto" w:fill="FFFFFF"/>
            <w:tabs>
              <w:tab w:val="center" w:pos="4320"/>
              <w:tab w:val="right" w:pos="8640"/>
            </w:tabs>
            <w:spacing w:after="0"/>
            <w:ind w:left="0"/>
          </w:pPr>
        </w:p>
      </w:tc>
      <w:tc>
        <w:tcPr>
          <w:tcW w:w="4869" w:type="dxa"/>
        </w:tcPr>
        <w:p w14:paraId="329F2191" w14:textId="5230A5D1" w:rsidR="00E54B3A" w:rsidRDefault="00211CA4" w:rsidP="00E54B3A">
          <w:pPr>
            <w:pStyle w:val="Footer"/>
            <w:spacing w:after="0"/>
            <w:ind w:left="1062"/>
          </w:pPr>
          <w:r w:rsidRPr="00D16FCC">
            <w:rPr>
              <w:noProof/>
              <w:sz w:val="16"/>
              <w:szCs w:val="14"/>
              <w:lang w:val="ro-RO" w:eastAsia="ro-RO"/>
            </w:rPr>
            <mc:AlternateContent>
              <mc:Choice Requires="wps">
                <w:drawing>
                  <wp:anchor distT="0" distB="0" distL="114300" distR="114300" simplePos="0" relativeHeight="251659264" behindDoc="0" locked="0" layoutInCell="1" allowOverlap="1" wp14:anchorId="2ABFE2F4" wp14:editId="2F561666">
                    <wp:simplePos x="0" y="0"/>
                    <wp:positionH relativeFrom="column">
                      <wp:posOffset>1734820</wp:posOffset>
                    </wp:positionH>
                    <wp:positionV relativeFrom="paragraph">
                      <wp:posOffset>703910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A2E05">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FE2F4"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A2E05">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v:textbox>
                  </v:shape>
                </w:pict>
              </mc:Fallback>
            </mc:AlternateContent>
          </w:r>
        </w:p>
      </w:tc>
    </w:tr>
  </w:tbl>
  <w:p w14:paraId="1DE8388E" w14:textId="2C6EF68D" w:rsidR="00236D8D" w:rsidRDefault="00EE349F" w:rsidP="00B94C5B">
    <w:pPr>
      <w:pStyle w:val="Footer"/>
      <w:spacing w:after="0" w:line="240" w:lineRule="auto"/>
      <w:ind w:left="0"/>
    </w:pPr>
    <w:r w:rsidRPr="00BD1FEF">
      <w:rPr>
        <w:noProof/>
        <w:sz w:val="14"/>
        <w:szCs w:val="14"/>
        <w:lang w:val="ro-RO" w:eastAsia="ro-RO"/>
      </w:rPr>
      <mc:AlternateContent>
        <mc:Choice Requires="wps">
          <w:drawing>
            <wp:anchor distT="0" distB="0" distL="114300" distR="114300" simplePos="0" relativeHeight="251666432" behindDoc="0" locked="0" layoutInCell="1" allowOverlap="1" wp14:anchorId="07C5F130" wp14:editId="7DEF2B67">
              <wp:simplePos x="0" y="0"/>
              <wp:positionH relativeFrom="column">
                <wp:posOffset>-281686</wp:posOffset>
              </wp:positionH>
              <wp:positionV relativeFrom="paragraph">
                <wp:posOffset>-1021080</wp:posOffset>
              </wp:positionV>
              <wp:extent cx="46386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46386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5E3F99"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80.4pt" to="343.05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" strokecolor="#4a7eb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FCE0F" w14:textId="77777777" w:rsidR="008065F6" w:rsidRDefault="008065F6">
      <w:pPr>
        <w:spacing w:after="0" w:line="240" w:lineRule="auto"/>
      </w:pPr>
      <w:r>
        <w:separator/>
      </w:r>
    </w:p>
  </w:footnote>
  <w:footnote w:type="continuationSeparator" w:id="0">
    <w:p w14:paraId="3660FDFF" w14:textId="77777777" w:rsidR="008065F6" w:rsidRDefault="00806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45AA2" w14:textId="77777777" w:rsidR="00F11C4B" w:rsidRDefault="00F11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914D4B" w14:paraId="2FEC97A8" w14:textId="77777777" w:rsidTr="0045739F">
      <w:tc>
        <w:tcPr>
          <w:tcW w:w="5103" w:type="dxa"/>
        </w:tcPr>
        <w:p w14:paraId="3001737C" w14:textId="6882AC16" w:rsidR="00236D8D" w:rsidRPr="00CD5B3B" w:rsidRDefault="00A77914" w:rsidP="00914D4B">
          <w:pPr>
            <w:pStyle w:val="MediumGrid21"/>
          </w:pPr>
          <w:r w:rsidRPr="00D900CC">
            <w:rPr>
              <w:noProof/>
              <w:sz w:val="16"/>
              <w:szCs w:val="16"/>
            </w:rPr>
            <w:drawing>
              <wp:inline distT="0" distB="0" distL="0" distR="0" wp14:anchorId="7810BBE7" wp14:editId="35058D0C">
                <wp:extent cx="3028950" cy="790575"/>
                <wp:effectExtent l="0" t="0" r="0" b="9525"/>
                <wp:docPr id="12123699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790575"/>
                        </a:xfrm>
                        <a:prstGeom prst="rect">
                          <a:avLst/>
                        </a:prstGeom>
                        <a:noFill/>
                        <a:ln>
                          <a:noFill/>
                        </a:ln>
                      </pic:spPr>
                    </pic:pic>
                  </a:graphicData>
                </a:graphic>
              </wp:inline>
            </w:drawing>
          </w:r>
        </w:p>
      </w:tc>
      <w:tc>
        <w:tcPr>
          <w:tcW w:w="4111" w:type="dxa"/>
          <w:vAlign w:val="center"/>
        </w:tcPr>
        <w:p w14:paraId="42B83596" w14:textId="5315B241" w:rsidR="00236D8D" w:rsidRDefault="00236D8D" w:rsidP="00914D4B">
          <w:pPr>
            <w:pStyle w:val="MediumGrid21"/>
            <w:jc w:val="right"/>
          </w:pPr>
        </w:p>
      </w:tc>
    </w:tr>
  </w:tbl>
  <w:p w14:paraId="2282CB8B" w14:textId="77777777" w:rsidR="00236D8D" w:rsidRPr="00CD5B3B" w:rsidRDefault="00236D8D" w:rsidP="0001107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27" w:type="dxa"/>
      <w:tblInd w:w="-851" w:type="dxa"/>
      <w:tblLayout w:type="fixed"/>
      <w:tblCellMar>
        <w:left w:w="0" w:type="dxa"/>
        <w:right w:w="0" w:type="dxa"/>
      </w:tblCellMar>
      <w:tblLook w:val="04A0" w:firstRow="1" w:lastRow="0" w:firstColumn="1" w:lastColumn="0" w:noHBand="0" w:noVBand="1"/>
    </w:tblPr>
    <w:tblGrid>
      <w:gridCol w:w="4903"/>
      <w:gridCol w:w="3111"/>
      <w:gridCol w:w="2013"/>
    </w:tblGrid>
    <w:tr w:rsidR="00B178BB" w14:paraId="46EB4C42" w14:textId="77777777" w:rsidTr="00EA621C">
      <w:trPr>
        <w:trHeight w:val="1440"/>
      </w:trPr>
      <w:tc>
        <w:tcPr>
          <w:tcW w:w="4903" w:type="dxa"/>
        </w:tcPr>
        <w:p w14:paraId="431C00E4" w14:textId="40DF8621" w:rsidR="00236D8D" w:rsidRPr="002D0CDC" w:rsidRDefault="00845D5D" w:rsidP="00B178BB">
          <w:pPr>
            <w:pStyle w:val="MediumGrid21"/>
            <w:rPr>
              <w:lang w:val="ro-RO"/>
            </w:rPr>
          </w:pPr>
          <w:r w:rsidRPr="00D900CC">
            <w:rPr>
              <w:noProof/>
              <w:sz w:val="16"/>
              <w:szCs w:val="16"/>
            </w:rPr>
            <w:drawing>
              <wp:inline distT="0" distB="0" distL="0" distR="0" wp14:anchorId="2D353AB1" wp14:editId="25A44A64">
                <wp:extent cx="3028950" cy="790575"/>
                <wp:effectExtent l="0" t="0" r="0" b="9525"/>
                <wp:docPr id="7406344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790575"/>
                        </a:xfrm>
                        <a:prstGeom prst="rect">
                          <a:avLst/>
                        </a:prstGeom>
                        <a:noFill/>
                        <a:ln>
                          <a:noFill/>
                        </a:ln>
                      </pic:spPr>
                    </pic:pic>
                  </a:graphicData>
                </a:graphic>
              </wp:inline>
            </w:drawing>
          </w:r>
        </w:p>
      </w:tc>
      <w:tc>
        <w:tcPr>
          <w:tcW w:w="3111" w:type="dxa"/>
          <w:vAlign w:val="center"/>
        </w:tcPr>
        <w:p w14:paraId="245B0079" w14:textId="77777777" w:rsidR="00236D8D" w:rsidRDefault="00236D8D" w:rsidP="00B178BB">
          <w:pPr>
            <w:pStyle w:val="MediumGrid21"/>
            <w:jc w:val="center"/>
            <w:rPr>
              <w:noProof/>
              <w:lang w:val="ro-RO" w:eastAsia="ro-RO"/>
            </w:rPr>
          </w:pPr>
        </w:p>
      </w:tc>
      <w:tc>
        <w:tcPr>
          <w:tcW w:w="2013" w:type="dxa"/>
          <w:vAlign w:val="center"/>
        </w:tcPr>
        <w:p w14:paraId="522DED09" w14:textId="5BD0F276" w:rsidR="00236D8D" w:rsidRPr="002D0CDC" w:rsidRDefault="00F11C4B" w:rsidP="00B178BB">
          <w:pPr>
            <w:pStyle w:val="MediumGrid21"/>
            <w:jc w:val="right"/>
            <w:rPr>
              <w:lang w:val="ro-RO"/>
            </w:rPr>
          </w:pPr>
          <w:r>
            <w:rPr>
              <w:noProof/>
            </w:rPr>
            <w:drawing>
              <wp:anchor distT="0" distB="0" distL="114300" distR="114300" simplePos="0" relativeHeight="251670528" behindDoc="0" locked="0" layoutInCell="1" allowOverlap="1" wp14:anchorId="79F29312" wp14:editId="6A01238E">
                <wp:simplePos x="0" y="0"/>
                <wp:positionH relativeFrom="column">
                  <wp:posOffset>4445</wp:posOffset>
                </wp:positionH>
                <wp:positionV relativeFrom="paragraph">
                  <wp:posOffset>394970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BD95F96" w14:textId="45EFBDC7" w:rsidR="00236D8D" w:rsidRDefault="00236D8D"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65A47"/>
    <w:multiLevelType w:val="hybridMultilevel"/>
    <w:tmpl w:val="6BB45BCA"/>
    <w:lvl w:ilvl="0" w:tplc="A63857F2">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C8C54C0"/>
    <w:multiLevelType w:val="hybridMultilevel"/>
    <w:tmpl w:val="68A643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FB32765"/>
    <w:multiLevelType w:val="hybridMultilevel"/>
    <w:tmpl w:val="A2CCF4DE"/>
    <w:lvl w:ilvl="0" w:tplc="F394025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31C64000"/>
    <w:multiLevelType w:val="hybridMultilevel"/>
    <w:tmpl w:val="B3FC50A0"/>
    <w:lvl w:ilvl="0" w:tplc="B0B2114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4" w15:restartNumberingAfterBreak="0">
    <w:nsid w:val="45504F2A"/>
    <w:multiLevelType w:val="hybridMultilevel"/>
    <w:tmpl w:val="B8CE2CC2"/>
    <w:lvl w:ilvl="0" w:tplc="7FD8FCB8">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8C31EEF"/>
    <w:multiLevelType w:val="hybridMultilevel"/>
    <w:tmpl w:val="CE80B4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BAB40BA"/>
    <w:multiLevelType w:val="hybridMultilevel"/>
    <w:tmpl w:val="A428FA2E"/>
    <w:lvl w:ilvl="0" w:tplc="A72E0426">
      <w:numFmt w:val="bullet"/>
      <w:lvlText w:val="-"/>
      <w:lvlJc w:val="left"/>
      <w:pPr>
        <w:ind w:left="36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91C98"/>
    <w:multiLevelType w:val="hybridMultilevel"/>
    <w:tmpl w:val="33D02BDC"/>
    <w:lvl w:ilvl="0" w:tplc="048A8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3995059">
    <w:abstractNumId w:val="6"/>
  </w:num>
  <w:num w:numId="2" w16cid:durableId="693072812">
    <w:abstractNumId w:val="3"/>
  </w:num>
  <w:num w:numId="3" w16cid:durableId="1100763077">
    <w:abstractNumId w:val="2"/>
  </w:num>
  <w:num w:numId="4" w16cid:durableId="347298650">
    <w:abstractNumId w:val="0"/>
  </w:num>
  <w:num w:numId="5" w16cid:durableId="463424622">
    <w:abstractNumId w:val="7"/>
  </w:num>
  <w:num w:numId="6" w16cid:durableId="407113556">
    <w:abstractNumId w:val="5"/>
  </w:num>
  <w:num w:numId="7" w16cid:durableId="1376344294">
    <w:abstractNumId w:val="1"/>
  </w:num>
  <w:num w:numId="8" w16cid:durableId="1367214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F06"/>
    <w:rsid w:val="000031AC"/>
    <w:rsid w:val="00005290"/>
    <w:rsid w:val="00005B0A"/>
    <w:rsid w:val="00022D33"/>
    <w:rsid w:val="00035674"/>
    <w:rsid w:val="000401B7"/>
    <w:rsid w:val="00053B07"/>
    <w:rsid w:val="00054475"/>
    <w:rsid w:val="00074B71"/>
    <w:rsid w:val="000E1F12"/>
    <w:rsid w:val="000E2D3D"/>
    <w:rsid w:val="000F63EC"/>
    <w:rsid w:val="00105678"/>
    <w:rsid w:val="0010681B"/>
    <w:rsid w:val="00107FE8"/>
    <w:rsid w:val="00123A42"/>
    <w:rsid w:val="00137440"/>
    <w:rsid w:val="001378A4"/>
    <w:rsid w:val="001547D2"/>
    <w:rsid w:val="001706B0"/>
    <w:rsid w:val="00184DB0"/>
    <w:rsid w:val="001A0F84"/>
    <w:rsid w:val="001A428B"/>
    <w:rsid w:val="001D0700"/>
    <w:rsid w:val="001E2086"/>
    <w:rsid w:val="00204788"/>
    <w:rsid w:val="00211CA4"/>
    <w:rsid w:val="00213049"/>
    <w:rsid w:val="00213509"/>
    <w:rsid w:val="00222838"/>
    <w:rsid w:val="002336CD"/>
    <w:rsid w:val="00236D8D"/>
    <w:rsid w:val="00242AEC"/>
    <w:rsid w:val="00250359"/>
    <w:rsid w:val="00250386"/>
    <w:rsid w:val="002F5DDC"/>
    <w:rsid w:val="00313EAB"/>
    <w:rsid w:val="00331F92"/>
    <w:rsid w:val="00377163"/>
    <w:rsid w:val="00390388"/>
    <w:rsid w:val="003A6AA8"/>
    <w:rsid w:val="003B6B7E"/>
    <w:rsid w:val="003E29B5"/>
    <w:rsid w:val="003E57DA"/>
    <w:rsid w:val="00423421"/>
    <w:rsid w:val="0042668A"/>
    <w:rsid w:val="004316D9"/>
    <w:rsid w:val="00436D34"/>
    <w:rsid w:val="00440F67"/>
    <w:rsid w:val="00441FDF"/>
    <w:rsid w:val="004520A3"/>
    <w:rsid w:val="00455782"/>
    <w:rsid w:val="00460B8C"/>
    <w:rsid w:val="00470A65"/>
    <w:rsid w:val="0047445F"/>
    <w:rsid w:val="004749BF"/>
    <w:rsid w:val="00482AD6"/>
    <w:rsid w:val="004930FE"/>
    <w:rsid w:val="0049377A"/>
    <w:rsid w:val="004A1DE3"/>
    <w:rsid w:val="004A58C8"/>
    <w:rsid w:val="004E7860"/>
    <w:rsid w:val="005018A3"/>
    <w:rsid w:val="00557E01"/>
    <w:rsid w:val="00563C59"/>
    <w:rsid w:val="00586C41"/>
    <w:rsid w:val="00594BD2"/>
    <w:rsid w:val="00597940"/>
    <w:rsid w:val="005A29F3"/>
    <w:rsid w:val="005C4892"/>
    <w:rsid w:val="005D3714"/>
    <w:rsid w:val="005D5CCF"/>
    <w:rsid w:val="005E7F06"/>
    <w:rsid w:val="005F64F2"/>
    <w:rsid w:val="00611872"/>
    <w:rsid w:val="00611BB8"/>
    <w:rsid w:val="00647ABA"/>
    <w:rsid w:val="00672FDB"/>
    <w:rsid w:val="006A40A6"/>
    <w:rsid w:val="006D4B00"/>
    <w:rsid w:val="006F397C"/>
    <w:rsid w:val="0070385C"/>
    <w:rsid w:val="00704034"/>
    <w:rsid w:val="007115F5"/>
    <w:rsid w:val="00712BE1"/>
    <w:rsid w:val="007178B2"/>
    <w:rsid w:val="00727A33"/>
    <w:rsid w:val="00733612"/>
    <w:rsid w:val="00734334"/>
    <w:rsid w:val="00750744"/>
    <w:rsid w:val="007523C0"/>
    <w:rsid w:val="00754116"/>
    <w:rsid w:val="00770A6A"/>
    <w:rsid w:val="00770B2B"/>
    <w:rsid w:val="007710F6"/>
    <w:rsid w:val="007771F2"/>
    <w:rsid w:val="00777BB5"/>
    <w:rsid w:val="00785AD6"/>
    <w:rsid w:val="007B1A88"/>
    <w:rsid w:val="007B51DC"/>
    <w:rsid w:val="007C2658"/>
    <w:rsid w:val="007D2019"/>
    <w:rsid w:val="007F3B90"/>
    <w:rsid w:val="00801F48"/>
    <w:rsid w:val="008065F6"/>
    <w:rsid w:val="0081616D"/>
    <w:rsid w:val="00826B9A"/>
    <w:rsid w:val="0084233A"/>
    <w:rsid w:val="00843A84"/>
    <w:rsid w:val="00845D5D"/>
    <w:rsid w:val="00860BD9"/>
    <w:rsid w:val="00873B8D"/>
    <w:rsid w:val="008741F7"/>
    <w:rsid w:val="008748C5"/>
    <w:rsid w:val="00887D81"/>
    <w:rsid w:val="008B5F52"/>
    <w:rsid w:val="008C7178"/>
    <w:rsid w:val="0090081F"/>
    <w:rsid w:val="00914597"/>
    <w:rsid w:val="00924075"/>
    <w:rsid w:val="0092735B"/>
    <w:rsid w:val="00934F90"/>
    <w:rsid w:val="00945163"/>
    <w:rsid w:val="00964EAF"/>
    <w:rsid w:val="009774C7"/>
    <w:rsid w:val="0098147C"/>
    <w:rsid w:val="009A1783"/>
    <w:rsid w:val="009A5FA3"/>
    <w:rsid w:val="009B4C1D"/>
    <w:rsid w:val="009E20AF"/>
    <w:rsid w:val="009E476D"/>
    <w:rsid w:val="00A03988"/>
    <w:rsid w:val="00A04D65"/>
    <w:rsid w:val="00A479B3"/>
    <w:rsid w:val="00A53B34"/>
    <w:rsid w:val="00A63D67"/>
    <w:rsid w:val="00A72204"/>
    <w:rsid w:val="00A77914"/>
    <w:rsid w:val="00AA2488"/>
    <w:rsid w:val="00AA2E05"/>
    <w:rsid w:val="00AB4A69"/>
    <w:rsid w:val="00AB4CC2"/>
    <w:rsid w:val="00AC2497"/>
    <w:rsid w:val="00AD39AE"/>
    <w:rsid w:val="00AE5245"/>
    <w:rsid w:val="00AF0B4F"/>
    <w:rsid w:val="00AF1D7A"/>
    <w:rsid w:val="00B12A7D"/>
    <w:rsid w:val="00B1470C"/>
    <w:rsid w:val="00B317DE"/>
    <w:rsid w:val="00B32B6A"/>
    <w:rsid w:val="00B34DA6"/>
    <w:rsid w:val="00B36193"/>
    <w:rsid w:val="00B37AAB"/>
    <w:rsid w:val="00B60A60"/>
    <w:rsid w:val="00B63175"/>
    <w:rsid w:val="00B75EAC"/>
    <w:rsid w:val="00B86E10"/>
    <w:rsid w:val="00B94C5B"/>
    <w:rsid w:val="00BB6473"/>
    <w:rsid w:val="00BD1FEF"/>
    <w:rsid w:val="00C30B31"/>
    <w:rsid w:val="00C37D89"/>
    <w:rsid w:val="00C42261"/>
    <w:rsid w:val="00C736EB"/>
    <w:rsid w:val="00C749D5"/>
    <w:rsid w:val="00C917BE"/>
    <w:rsid w:val="00C94426"/>
    <w:rsid w:val="00C97A7B"/>
    <w:rsid w:val="00CA5792"/>
    <w:rsid w:val="00CC084B"/>
    <w:rsid w:val="00CC1258"/>
    <w:rsid w:val="00CE125E"/>
    <w:rsid w:val="00CF3FB7"/>
    <w:rsid w:val="00D15286"/>
    <w:rsid w:val="00D16FCC"/>
    <w:rsid w:val="00D22FC6"/>
    <w:rsid w:val="00D250F5"/>
    <w:rsid w:val="00D25F2E"/>
    <w:rsid w:val="00D40091"/>
    <w:rsid w:val="00D5508C"/>
    <w:rsid w:val="00D70EFA"/>
    <w:rsid w:val="00D76A97"/>
    <w:rsid w:val="00DC0874"/>
    <w:rsid w:val="00DD066C"/>
    <w:rsid w:val="00DD0BF0"/>
    <w:rsid w:val="00DE0E29"/>
    <w:rsid w:val="00DE4FE1"/>
    <w:rsid w:val="00DF4C33"/>
    <w:rsid w:val="00E00A02"/>
    <w:rsid w:val="00E165CD"/>
    <w:rsid w:val="00E40EB9"/>
    <w:rsid w:val="00E54B3A"/>
    <w:rsid w:val="00E57133"/>
    <w:rsid w:val="00E73B75"/>
    <w:rsid w:val="00EA0F6D"/>
    <w:rsid w:val="00EB10AA"/>
    <w:rsid w:val="00ED7FEF"/>
    <w:rsid w:val="00EE349F"/>
    <w:rsid w:val="00EE3C56"/>
    <w:rsid w:val="00EE714A"/>
    <w:rsid w:val="00F050BA"/>
    <w:rsid w:val="00F11C4B"/>
    <w:rsid w:val="00F54343"/>
    <w:rsid w:val="00F65645"/>
    <w:rsid w:val="00F874A9"/>
    <w:rsid w:val="00F929FD"/>
    <w:rsid w:val="00FB4EF1"/>
    <w:rsid w:val="00FE4532"/>
    <w:rsid w:val="00FE636C"/>
    <w:rsid w:val="00FF2E47"/>
    <w:rsid w:val="00FF5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3C98"/>
  <w15:docId w15:val="{AE4B7DC6-646F-41E8-A23C-D6ABF09E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Heading4">
    <w:name w:val="heading 4"/>
    <w:basedOn w:val="Normal"/>
    <w:next w:val="Normal"/>
    <w:link w:val="Heading4Cha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E7F06"/>
    <w:rPr>
      <w:rFonts w:ascii="Calibri" w:eastAsia="Times New Roman" w:hAnsi="Calibri" w:cs="Times New Roman"/>
      <w:b/>
      <w:bCs/>
      <w:sz w:val="28"/>
      <w:szCs w:val="28"/>
    </w:rPr>
  </w:style>
  <w:style w:type="paragraph" w:styleId="Header">
    <w:name w:val="header"/>
    <w:basedOn w:val="Normal"/>
    <w:link w:val="HeaderChar"/>
    <w:uiPriority w:val="99"/>
    <w:unhideWhenUsed/>
    <w:rsid w:val="005E7F06"/>
    <w:pPr>
      <w:tabs>
        <w:tab w:val="center" w:pos="4320"/>
        <w:tab w:val="right" w:pos="8640"/>
      </w:tabs>
    </w:pPr>
  </w:style>
  <w:style w:type="character" w:customStyle="1" w:styleId="HeaderChar">
    <w:name w:val="Header Char"/>
    <w:basedOn w:val="DefaultParagraphFont"/>
    <w:link w:val="Header"/>
    <w:uiPriority w:val="99"/>
    <w:rsid w:val="005E7F06"/>
    <w:rPr>
      <w:rFonts w:ascii="Trebuchet MS" w:eastAsia="MS Mincho" w:hAnsi="Trebuchet MS" w:cs="Times New Roman"/>
    </w:rPr>
  </w:style>
  <w:style w:type="paragraph" w:styleId="Footer">
    <w:name w:val="footer"/>
    <w:basedOn w:val="Normal"/>
    <w:link w:val="FooterChar"/>
    <w:uiPriority w:val="99"/>
    <w:unhideWhenUsed/>
    <w:rsid w:val="005E7F06"/>
    <w:pPr>
      <w:tabs>
        <w:tab w:val="center" w:pos="4320"/>
        <w:tab w:val="right" w:pos="8640"/>
      </w:tabs>
    </w:pPr>
  </w:style>
  <w:style w:type="character" w:customStyle="1" w:styleId="FooterChar">
    <w:name w:val="Footer Char"/>
    <w:basedOn w:val="DefaultParagraphFont"/>
    <w:link w:val="Footer"/>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Strong">
    <w:name w:val="Strong"/>
    <w:uiPriority w:val="22"/>
    <w:qFormat/>
    <w:rsid w:val="005E7F06"/>
    <w:rPr>
      <w:b/>
      <w:bCs/>
    </w:rPr>
  </w:style>
  <w:style w:type="character" w:styleId="Hyperlink">
    <w:name w:val="Hyperlink"/>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06"/>
    <w:rPr>
      <w:rFonts w:ascii="Tahoma" w:eastAsia="MS Mincho" w:hAnsi="Tahoma" w:cs="Tahoma"/>
      <w:sz w:val="16"/>
      <w:szCs w:val="16"/>
    </w:rPr>
  </w:style>
  <w:style w:type="paragraph" w:styleId="ListParagraph">
    <w:name w:val="List Paragraph"/>
    <w:basedOn w:val="Normal"/>
    <w:uiPriority w:val="34"/>
    <w:qFormat/>
    <w:rsid w:val="005E7F06"/>
    <w:pPr>
      <w:ind w:left="720"/>
      <w:contextualSpacing/>
    </w:pPr>
  </w:style>
  <w:style w:type="paragraph" w:styleId="Revision">
    <w:name w:val="Revision"/>
    <w:hidden/>
    <w:uiPriority w:val="99"/>
    <w:semiHidden/>
    <w:rsid w:val="00563C59"/>
    <w:pPr>
      <w:spacing w:after="0" w:line="240" w:lineRule="auto"/>
    </w:pPr>
    <w:rPr>
      <w:rFonts w:ascii="Trebuchet MS" w:eastAsia="MS Mincho" w:hAnsi="Trebuchet MS" w:cs="Times New Roman"/>
    </w:rPr>
  </w:style>
  <w:style w:type="table" w:styleId="TableGrid">
    <w:name w:val="Table Grid"/>
    <w:basedOn w:val="TableNormal"/>
    <w:uiPriority w:val="59"/>
    <w:rsid w:val="00E5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3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28085">
      <w:bodyDiv w:val="1"/>
      <w:marLeft w:val="0"/>
      <w:marRight w:val="0"/>
      <w:marTop w:val="0"/>
      <w:marBottom w:val="0"/>
      <w:divBdr>
        <w:top w:val="none" w:sz="0" w:space="0" w:color="auto"/>
        <w:left w:val="none" w:sz="0" w:space="0" w:color="auto"/>
        <w:bottom w:val="none" w:sz="0" w:space="0" w:color="auto"/>
        <w:right w:val="none" w:sz="0" w:space="0" w:color="auto"/>
      </w:divBdr>
    </w:div>
    <w:div w:id="719472791">
      <w:bodyDiv w:val="1"/>
      <w:marLeft w:val="0"/>
      <w:marRight w:val="0"/>
      <w:marTop w:val="0"/>
      <w:marBottom w:val="0"/>
      <w:divBdr>
        <w:top w:val="none" w:sz="0" w:space="0" w:color="auto"/>
        <w:left w:val="none" w:sz="0" w:space="0" w:color="auto"/>
        <w:bottom w:val="none" w:sz="0" w:space="0" w:color="auto"/>
        <w:right w:val="none" w:sz="0" w:space="0" w:color="auto"/>
      </w:divBdr>
    </w:div>
    <w:div w:id="970861761">
      <w:bodyDiv w:val="1"/>
      <w:marLeft w:val="0"/>
      <w:marRight w:val="0"/>
      <w:marTop w:val="0"/>
      <w:marBottom w:val="0"/>
      <w:divBdr>
        <w:top w:val="none" w:sz="0" w:space="0" w:color="auto"/>
        <w:left w:val="none" w:sz="0" w:space="0" w:color="auto"/>
        <w:bottom w:val="none" w:sz="0" w:space="0" w:color="auto"/>
        <w:right w:val="none" w:sz="0" w:space="0" w:color="auto"/>
      </w:divBdr>
    </w:div>
    <w:div w:id="107527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nofm.ro" TargetMode="External"/><Relationship Id="rId1" Type="http://schemas.openxmlformats.org/officeDocument/2006/relationships/hyperlink" Target="mailto:ajofm.gj@anofm.gov.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nofm.ro" TargetMode="External"/><Relationship Id="rId1" Type="http://schemas.openxmlformats.org/officeDocument/2006/relationships/hyperlink" Target="mailto:ajofm.gj@anofm.gov.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9C5BC-3DC8-4A43-979D-2449B195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2549</Words>
  <Characters>14534</Characters>
  <Application>Microsoft Office Word</Application>
  <DocSecurity>0</DocSecurity>
  <Lines>121</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CarmenAdela Petrica</cp:lastModifiedBy>
  <cp:revision>54</cp:revision>
  <cp:lastPrinted>2025-02-20T06:05:00Z</cp:lastPrinted>
  <dcterms:created xsi:type="dcterms:W3CDTF">2024-10-10T14:28:00Z</dcterms:created>
  <dcterms:modified xsi:type="dcterms:W3CDTF">2025-08-29T09:05:00Z</dcterms:modified>
</cp:coreProperties>
</file>