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0039" w14:textId="0F11FAC4" w:rsidR="00EB376A" w:rsidRDefault="00FC7C0A" w:rsidP="00EB376A">
      <w:pPr>
        <w:spacing w:after="0" w:line="240" w:lineRule="auto"/>
        <w:ind w:left="8181" w:firstLine="459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EB376A">
        <w:rPr>
          <w:b/>
          <w:sz w:val="24"/>
          <w:szCs w:val="24"/>
        </w:rPr>
        <w:t xml:space="preserve"> MAI 202</w:t>
      </w:r>
      <w:r w:rsidR="00F67CD1">
        <w:rPr>
          <w:b/>
          <w:sz w:val="24"/>
          <w:szCs w:val="24"/>
        </w:rPr>
        <w:t>5</w:t>
      </w:r>
    </w:p>
    <w:p w14:paraId="46757554" w14:textId="77777777" w:rsidR="00EB376A" w:rsidRPr="008D4622" w:rsidRDefault="00EB376A" w:rsidP="00EB376A">
      <w:pPr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23230390" w14:textId="77777777"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b/>
          <w:sz w:val="24"/>
          <w:szCs w:val="24"/>
          <w:lang w:val="ro-RO"/>
        </w:rPr>
      </w:pPr>
      <w:r w:rsidRPr="00EB376A">
        <w:rPr>
          <w:b/>
          <w:sz w:val="24"/>
          <w:szCs w:val="24"/>
          <w:lang w:val="ro-RO"/>
        </w:rPr>
        <w:t xml:space="preserve">Comunicat de Presa </w:t>
      </w:r>
    </w:p>
    <w:p w14:paraId="114C824F" w14:textId="77777777"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color w:val="FF0000"/>
          <w:sz w:val="24"/>
          <w:szCs w:val="24"/>
          <w:lang w:val="ro-RO"/>
        </w:rPr>
      </w:pPr>
    </w:p>
    <w:p w14:paraId="24A96CD6" w14:textId="0AB10E7E" w:rsidR="001C1C58" w:rsidRDefault="001C1C58" w:rsidP="001C1C58">
      <w:pPr>
        <w:ind w:left="0"/>
        <w:rPr>
          <w:b/>
          <w:lang w:val="ro-RO"/>
        </w:rPr>
      </w:pPr>
      <w:r>
        <w:rPr>
          <w:sz w:val="24"/>
          <w:szCs w:val="24"/>
        </w:rPr>
        <w:tab/>
      </w:r>
      <w:r>
        <w:rPr>
          <w:b/>
          <w:lang w:val="ro-RO"/>
        </w:rPr>
        <w:t>AJOFM Dolj organizează în data de 23 mai 2025 Bursa Generală a Locurilor de Muncă</w:t>
      </w:r>
    </w:p>
    <w:p w14:paraId="12C115E7" w14:textId="77777777" w:rsidR="001C1C58" w:rsidRDefault="001C1C58" w:rsidP="001C1C58">
      <w:pPr>
        <w:spacing w:after="0"/>
        <w:ind w:left="0"/>
        <w:rPr>
          <w:b/>
          <w:lang w:val="ro-RO"/>
        </w:rPr>
      </w:pPr>
    </w:p>
    <w:p w14:paraId="1471EF53" w14:textId="26D1F9C0" w:rsidR="001C1C58" w:rsidRPr="00300EFB" w:rsidRDefault="001C1C58" w:rsidP="001C1C58">
      <w:pPr>
        <w:tabs>
          <w:tab w:val="left" w:pos="4230"/>
        </w:tabs>
        <w:ind w:left="720"/>
        <w:rPr>
          <w:sz w:val="24"/>
          <w:szCs w:val="24"/>
          <w:lang w:val="ro-RO"/>
        </w:rPr>
      </w:pPr>
      <w:r w:rsidRPr="0084004A">
        <w:t>Agen</w:t>
      </w:r>
      <w:r w:rsidRPr="0084004A">
        <w:rPr>
          <w:lang w:val="ro-RO"/>
        </w:rPr>
        <w:t xml:space="preserve">ția Județeană pentru Ocuparea Forței de Muncă Dolj </w:t>
      </w:r>
      <w:r>
        <w:rPr>
          <w:lang w:val="ro-RO"/>
        </w:rPr>
        <w:t xml:space="preserve">va organiza, în data de 23 mai </w:t>
      </w:r>
      <w:proofErr w:type="gramStart"/>
      <w:r>
        <w:rPr>
          <w:lang w:val="ro-RO"/>
        </w:rPr>
        <w:t xml:space="preserve">2025,   </w:t>
      </w:r>
      <w:proofErr w:type="gramEnd"/>
      <w:r>
        <w:rPr>
          <w:lang w:val="ro-RO"/>
        </w:rPr>
        <w:t xml:space="preserve">   Bursa Generală a Locurilor de Muncă</w:t>
      </w:r>
      <w:r w:rsidR="008B628A" w:rsidRPr="0051287A">
        <w:rPr>
          <w:sz w:val="24"/>
          <w:szCs w:val="24"/>
        </w:rPr>
        <w:t xml:space="preserve">, </w:t>
      </w:r>
      <w:proofErr w:type="spellStart"/>
      <w:r w:rsidR="008B628A" w:rsidRPr="0051287A">
        <w:rPr>
          <w:sz w:val="24"/>
          <w:szCs w:val="24"/>
        </w:rPr>
        <w:t>eveniment</w:t>
      </w:r>
      <w:proofErr w:type="spellEnd"/>
      <w:r w:rsidR="008B628A" w:rsidRPr="0051287A">
        <w:rPr>
          <w:sz w:val="24"/>
          <w:szCs w:val="24"/>
        </w:rPr>
        <w:t xml:space="preserve"> care se </w:t>
      </w:r>
      <w:proofErr w:type="spellStart"/>
      <w:r w:rsidR="008B628A" w:rsidRPr="0051287A">
        <w:rPr>
          <w:sz w:val="24"/>
          <w:szCs w:val="24"/>
        </w:rPr>
        <w:t>va</w:t>
      </w:r>
      <w:proofErr w:type="spellEnd"/>
      <w:r w:rsidR="008B628A" w:rsidRPr="0051287A">
        <w:rPr>
          <w:sz w:val="24"/>
          <w:szCs w:val="24"/>
        </w:rPr>
        <w:t xml:space="preserve"> </w:t>
      </w:r>
      <w:proofErr w:type="spellStart"/>
      <w:r w:rsidR="008B628A" w:rsidRPr="0051287A">
        <w:rPr>
          <w:sz w:val="24"/>
          <w:szCs w:val="24"/>
        </w:rPr>
        <w:t>desfăşură</w:t>
      </w:r>
      <w:proofErr w:type="spellEnd"/>
      <w:r w:rsidR="008B628A" w:rsidRPr="0051287A">
        <w:rPr>
          <w:sz w:val="24"/>
          <w:szCs w:val="24"/>
        </w:rPr>
        <w:t xml:space="preserve"> la </w:t>
      </w:r>
      <w:proofErr w:type="spellStart"/>
      <w:r w:rsidR="008B628A" w:rsidRPr="0051287A">
        <w:rPr>
          <w:sz w:val="24"/>
          <w:szCs w:val="24"/>
        </w:rPr>
        <w:t>sediul</w:t>
      </w:r>
      <w:proofErr w:type="spellEnd"/>
      <w:r w:rsidR="008B628A" w:rsidRPr="0051287A">
        <w:rPr>
          <w:sz w:val="24"/>
          <w:szCs w:val="24"/>
        </w:rPr>
        <w:t xml:space="preserve"> </w:t>
      </w:r>
      <w:proofErr w:type="spellStart"/>
      <w:r w:rsidR="008B628A" w:rsidRPr="0051287A">
        <w:rPr>
          <w:sz w:val="24"/>
          <w:szCs w:val="24"/>
        </w:rPr>
        <w:t>Fundației</w:t>
      </w:r>
      <w:proofErr w:type="spellEnd"/>
      <w:r w:rsidR="008B628A" w:rsidRPr="0051287A">
        <w:rPr>
          <w:sz w:val="24"/>
          <w:szCs w:val="24"/>
        </w:rPr>
        <w:t xml:space="preserve"> </w:t>
      </w:r>
      <w:proofErr w:type="spellStart"/>
      <w:r w:rsidR="008B628A" w:rsidRPr="0051287A">
        <w:rPr>
          <w:sz w:val="24"/>
          <w:szCs w:val="24"/>
        </w:rPr>
        <w:t>pentru</w:t>
      </w:r>
      <w:proofErr w:type="spellEnd"/>
      <w:r w:rsidR="008B628A" w:rsidRPr="0051287A">
        <w:rPr>
          <w:sz w:val="24"/>
          <w:szCs w:val="24"/>
        </w:rPr>
        <w:t xml:space="preserve"> </w:t>
      </w:r>
      <w:proofErr w:type="spellStart"/>
      <w:r w:rsidR="008B628A" w:rsidRPr="0051287A">
        <w:rPr>
          <w:sz w:val="24"/>
          <w:szCs w:val="24"/>
        </w:rPr>
        <w:t>Tineret</w:t>
      </w:r>
      <w:proofErr w:type="spellEnd"/>
      <w:r w:rsidR="008B628A" w:rsidRPr="0051287A">
        <w:rPr>
          <w:sz w:val="24"/>
          <w:szCs w:val="24"/>
        </w:rPr>
        <w:t xml:space="preserve"> Dolj, (Casa </w:t>
      </w:r>
      <w:proofErr w:type="spellStart"/>
      <w:r w:rsidR="008B628A" w:rsidRPr="0051287A">
        <w:rPr>
          <w:sz w:val="24"/>
          <w:szCs w:val="24"/>
        </w:rPr>
        <w:t>Tineretului</w:t>
      </w:r>
      <w:proofErr w:type="spellEnd"/>
      <w:r w:rsidR="008B628A" w:rsidRPr="0051287A">
        <w:rPr>
          <w:sz w:val="24"/>
          <w:szCs w:val="24"/>
        </w:rPr>
        <w:t xml:space="preserve">), din Craiova, Str. Calea </w:t>
      </w:r>
      <w:proofErr w:type="spellStart"/>
      <w:r w:rsidR="008B628A" w:rsidRPr="0051287A">
        <w:rPr>
          <w:sz w:val="24"/>
          <w:szCs w:val="24"/>
        </w:rPr>
        <w:t>Severinului</w:t>
      </w:r>
      <w:proofErr w:type="spellEnd"/>
      <w:r w:rsidR="008B628A" w:rsidRPr="0051287A">
        <w:rPr>
          <w:sz w:val="24"/>
          <w:szCs w:val="24"/>
        </w:rPr>
        <w:t xml:space="preserve"> Nr. 1, </w:t>
      </w:r>
      <w:proofErr w:type="spellStart"/>
      <w:r w:rsidR="008B628A" w:rsidRPr="00300EFB">
        <w:rPr>
          <w:sz w:val="24"/>
          <w:szCs w:val="24"/>
        </w:rPr>
        <w:t>începând</w:t>
      </w:r>
      <w:proofErr w:type="spellEnd"/>
      <w:r w:rsidR="008B628A" w:rsidRPr="00300EFB">
        <w:rPr>
          <w:sz w:val="24"/>
          <w:szCs w:val="24"/>
        </w:rPr>
        <w:t xml:space="preserve"> cu </w:t>
      </w:r>
      <w:proofErr w:type="spellStart"/>
      <w:r w:rsidR="008B628A" w:rsidRPr="00300EFB">
        <w:rPr>
          <w:sz w:val="24"/>
          <w:szCs w:val="24"/>
        </w:rPr>
        <w:t>ora</w:t>
      </w:r>
      <w:proofErr w:type="spellEnd"/>
      <w:r w:rsidR="008B628A" w:rsidRPr="00300EFB">
        <w:rPr>
          <w:sz w:val="24"/>
          <w:szCs w:val="24"/>
        </w:rPr>
        <w:t xml:space="preserve"> 09.00</w:t>
      </w:r>
      <w:r w:rsidRPr="00300EFB">
        <w:rPr>
          <w:sz w:val="24"/>
          <w:szCs w:val="24"/>
          <w:lang w:val="ro-RO"/>
        </w:rPr>
        <w:t>.</w:t>
      </w:r>
    </w:p>
    <w:p w14:paraId="745414F5" w14:textId="7E082B75" w:rsidR="00FC7C0A" w:rsidRPr="00300EFB" w:rsidRDefault="00FC7C0A" w:rsidP="00FC7C0A">
      <w:pPr>
        <w:spacing w:after="0"/>
        <w:ind w:left="0"/>
        <w:rPr>
          <w:sz w:val="24"/>
          <w:szCs w:val="24"/>
          <w:lang w:val="ro-RO" w:eastAsia="ro-RO"/>
        </w:rPr>
      </w:pPr>
      <w:r w:rsidRPr="00300EFB">
        <w:rPr>
          <w:sz w:val="24"/>
          <w:szCs w:val="24"/>
        </w:rPr>
        <w:tab/>
      </w:r>
      <w:r w:rsidRPr="00300EFB">
        <w:rPr>
          <w:sz w:val="24"/>
          <w:szCs w:val="24"/>
          <w:lang w:val="ro-RO" w:eastAsia="ro-RO"/>
        </w:rPr>
        <w:t xml:space="preserve">În vederea organizării acestei acţiuni au fost contactaţi </w:t>
      </w:r>
      <w:r w:rsidR="0031487B" w:rsidRPr="00300EFB">
        <w:rPr>
          <w:sz w:val="24"/>
          <w:szCs w:val="24"/>
          <w:lang w:val="ro-RO" w:eastAsia="ro-RO"/>
        </w:rPr>
        <w:t xml:space="preserve">187 </w:t>
      </w:r>
      <w:r w:rsidRPr="00300EFB">
        <w:rPr>
          <w:sz w:val="24"/>
          <w:szCs w:val="24"/>
          <w:lang w:val="ro-RO" w:eastAsia="ro-RO"/>
        </w:rPr>
        <w:t>agenţi economici.</w:t>
      </w:r>
    </w:p>
    <w:p w14:paraId="58B4FD87" w14:textId="7841391A" w:rsidR="00FC7C0A" w:rsidRPr="002D3AB1" w:rsidRDefault="00FC7C0A" w:rsidP="00FC7C0A">
      <w:pPr>
        <w:ind w:left="720"/>
        <w:rPr>
          <w:sz w:val="24"/>
          <w:szCs w:val="24"/>
          <w:lang w:val="ro-RO" w:eastAsia="ro-RO"/>
        </w:rPr>
      </w:pPr>
      <w:r w:rsidRPr="00300EFB">
        <w:rPr>
          <w:sz w:val="24"/>
          <w:szCs w:val="24"/>
          <w:lang w:val="ro-RO" w:eastAsia="ro-RO"/>
        </w:rPr>
        <w:t xml:space="preserve">Până la data de </w:t>
      </w:r>
      <w:r w:rsidRPr="00300EFB">
        <w:rPr>
          <w:sz w:val="24"/>
          <w:szCs w:val="24"/>
          <w:lang w:val="ro-RO" w:eastAsia="ro-RO"/>
        </w:rPr>
        <w:t>21</w:t>
      </w:r>
      <w:r w:rsidRPr="00300EFB">
        <w:rPr>
          <w:sz w:val="24"/>
          <w:szCs w:val="24"/>
          <w:lang w:val="ro-RO" w:eastAsia="ro-RO"/>
        </w:rPr>
        <w:t xml:space="preserve"> mai 202</w:t>
      </w:r>
      <w:r w:rsidRPr="00300EFB">
        <w:rPr>
          <w:sz w:val="24"/>
          <w:szCs w:val="24"/>
          <w:lang w:val="ro-RO" w:eastAsia="ro-RO"/>
        </w:rPr>
        <w:t>5</w:t>
      </w:r>
      <w:r w:rsidRPr="00300EFB">
        <w:rPr>
          <w:sz w:val="24"/>
          <w:szCs w:val="24"/>
          <w:lang w:val="ro-RO" w:eastAsia="ro-RO"/>
        </w:rPr>
        <w:t xml:space="preserve"> şi-au anunţat participarea </w:t>
      </w:r>
      <w:r w:rsidR="0031487B" w:rsidRPr="00300EFB">
        <w:rPr>
          <w:sz w:val="24"/>
          <w:szCs w:val="24"/>
          <w:lang w:val="ro-RO" w:eastAsia="ro-RO"/>
        </w:rPr>
        <w:t xml:space="preserve">25 </w:t>
      </w:r>
      <w:r w:rsidRPr="00300EFB">
        <w:rPr>
          <w:sz w:val="24"/>
          <w:szCs w:val="24"/>
          <w:lang w:val="ro-RO" w:eastAsia="ro-RO"/>
        </w:rPr>
        <w:t xml:space="preserve">agenţi economici. Din totalul de </w:t>
      </w:r>
      <w:r w:rsidR="0031487B" w:rsidRPr="00300EFB">
        <w:rPr>
          <w:sz w:val="24"/>
          <w:szCs w:val="24"/>
          <w:lang w:val="ro-RO" w:eastAsia="ro-RO"/>
        </w:rPr>
        <w:t xml:space="preserve">409 </w:t>
      </w:r>
      <w:r w:rsidRPr="00300EFB">
        <w:rPr>
          <w:sz w:val="24"/>
          <w:szCs w:val="24"/>
          <w:lang w:val="ro-RO" w:eastAsia="ro-RO"/>
        </w:rPr>
        <w:t>locuri de muncă pe care aceştia le oferă</w:t>
      </w:r>
      <w:r w:rsidR="0031487B" w:rsidRPr="00300EFB">
        <w:rPr>
          <w:sz w:val="24"/>
          <w:szCs w:val="24"/>
          <w:lang w:val="ro-RO" w:eastAsia="ro-RO"/>
        </w:rPr>
        <w:t>, 64</w:t>
      </w:r>
      <w:r w:rsidRPr="00300EFB">
        <w:rPr>
          <w:sz w:val="24"/>
          <w:szCs w:val="24"/>
          <w:lang w:val="ro-RO" w:eastAsia="ro-RO"/>
        </w:rPr>
        <w:t xml:space="preserve"> sunt pentru persoanele cu studii superioare (</w:t>
      </w:r>
      <w:r w:rsidR="0031487B" w:rsidRPr="00300EFB">
        <w:rPr>
          <w:sz w:val="24"/>
          <w:szCs w:val="24"/>
          <w:lang w:val="ro-RO" w:eastAsia="ro-RO"/>
        </w:rPr>
        <w:t xml:space="preserve">contabil sef, inginer electromecanic, cercetator stiintofic, asisietnt de cercetare inginerie elctrica si calculatoare, economist </w:t>
      </w:r>
      <w:r w:rsidRPr="00300EFB">
        <w:rPr>
          <w:sz w:val="24"/>
          <w:szCs w:val="24"/>
          <w:lang w:val="ro-RO" w:eastAsia="ro-RO"/>
        </w:rPr>
        <w:t xml:space="preserve">etc) şi </w:t>
      </w:r>
      <w:r w:rsidR="0031487B" w:rsidRPr="00300EFB">
        <w:rPr>
          <w:sz w:val="24"/>
          <w:szCs w:val="24"/>
          <w:lang w:val="ro-RO" w:eastAsia="ro-RO"/>
        </w:rPr>
        <w:t xml:space="preserve">345 </w:t>
      </w:r>
      <w:r w:rsidRPr="00300EFB">
        <w:rPr>
          <w:sz w:val="24"/>
          <w:szCs w:val="24"/>
          <w:lang w:val="ro-RO" w:eastAsia="ro-RO"/>
        </w:rPr>
        <w:t>locuri de muncă pentru persoanele cu studii medii (</w:t>
      </w:r>
      <w:r w:rsidR="0031487B" w:rsidRPr="00300EFB">
        <w:rPr>
          <w:sz w:val="24"/>
          <w:szCs w:val="24"/>
          <w:lang w:val="ro-RO" w:eastAsia="ro-RO"/>
        </w:rPr>
        <w:t xml:space="preserve">agent de securitate, lucrator comercial, vanzator confectioner, sudor, vopsitor, lacatus mecanic, bobinator masini electrice, montator </w:t>
      </w:r>
      <w:r w:rsidR="0031487B">
        <w:rPr>
          <w:sz w:val="24"/>
          <w:szCs w:val="24"/>
          <w:lang w:val="ro-RO" w:eastAsia="ro-RO"/>
        </w:rPr>
        <w:t xml:space="preserve">electromecanic, electrician </w:t>
      </w:r>
      <w:r w:rsidRPr="002D3AB1">
        <w:rPr>
          <w:sz w:val="24"/>
          <w:szCs w:val="24"/>
          <w:lang w:val="ro-RO" w:eastAsia="ro-RO"/>
        </w:rPr>
        <w:t>etc).</w:t>
      </w:r>
    </w:p>
    <w:p w14:paraId="34E17F90" w14:textId="77777777" w:rsidR="00FC7C0A" w:rsidRDefault="00FC7C0A" w:rsidP="00FC7C0A">
      <w:pPr>
        <w:ind w:left="720"/>
        <w:rPr>
          <w:sz w:val="24"/>
          <w:szCs w:val="24"/>
        </w:rPr>
      </w:pPr>
      <w:proofErr w:type="spellStart"/>
      <w:r w:rsidRPr="002D3AB1">
        <w:rPr>
          <w:sz w:val="24"/>
          <w:szCs w:val="24"/>
        </w:rPr>
        <w:t>Precizăm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faptul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proofErr w:type="gramStart"/>
      <w:r w:rsidRPr="002D3AB1">
        <w:rPr>
          <w:sz w:val="24"/>
          <w:szCs w:val="24"/>
        </w:rPr>
        <w:t>că</w:t>
      </w:r>
      <w:proofErr w:type="spellEnd"/>
      <w:r w:rsidRPr="002D3AB1">
        <w:rPr>
          <w:sz w:val="24"/>
          <w:szCs w:val="24"/>
        </w:rPr>
        <w:t xml:space="preserve">  </w:t>
      </w:r>
      <w:proofErr w:type="spellStart"/>
      <w:r w:rsidRPr="002D3AB1">
        <w:rPr>
          <w:sz w:val="24"/>
          <w:szCs w:val="24"/>
        </w:rPr>
        <w:t>acestea</w:t>
      </w:r>
      <w:proofErr w:type="spellEnd"/>
      <w:proofErr w:type="gramEnd"/>
      <w:r w:rsidRPr="002D3AB1">
        <w:rPr>
          <w:sz w:val="24"/>
          <w:szCs w:val="24"/>
        </w:rPr>
        <w:t xml:space="preserve"> sunt date </w:t>
      </w:r>
      <w:proofErr w:type="spellStart"/>
      <w:r w:rsidRPr="002D3AB1">
        <w:rPr>
          <w:sz w:val="24"/>
          <w:szCs w:val="24"/>
        </w:rPr>
        <w:t>preliminarii</w:t>
      </w:r>
      <w:proofErr w:type="spellEnd"/>
      <w:r w:rsidRPr="002D3AB1">
        <w:rPr>
          <w:sz w:val="24"/>
          <w:szCs w:val="24"/>
        </w:rPr>
        <w:t xml:space="preserve">, </w:t>
      </w:r>
      <w:proofErr w:type="spellStart"/>
      <w:r w:rsidRPr="002D3AB1">
        <w:rPr>
          <w:sz w:val="24"/>
          <w:szCs w:val="24"/>
        </w:rPr>
        <w:t>iar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agentii</w:t>
      </w:r>
      <w:proofErr w:type="spellEnd"/>
      <w:r w:rsidRPr="002D3AB1">
        <w:rPr>
          <w:sz w:val="24"/>
          <w:szCs w:val="24"/>
        </w:rPr>
        <w:t xml:space="preserve"> economici care </w:t>
      </w:r>
      <w:proofErr w:type="spellStart"/>
      <w:r w:rsidRPr="002D3AB1">
        <w:rPr>
          <w:sz w:val="24"/>
          <w:szCs w:val="24"/>
        </w:rPr>
        <w:t>dispun</w:t>
      </w:r>
      <w:proofErr w:type="spellEnd"/>
      <w:r w:rsidRPr="002D3AB1">
        <w:rPr>
          <w:sz w:val="24"/>
          <w:szCs w:val="24"/>
        </w:rPr>
        <w:t xml:space="preserve"> de </w:t>
      </w:r>
      <w:proofErr w:type="spellStart"/>
      <w:r w:rsidRPr="002D3AB1">
        <w:rPr>
          <w:sz w:val="24"/>
          <w:szCs w:val="24"/>
        </w:rPr>
        <w:t>locuri</w:t>
      </w:r>
      <w:proofErr w:type="spellEnd"/>
      <w:r w:rsidRPr="002D3AB1">
        <w:rPr>
          <w:sz w:val="24"/>
          <w:szCs w:val="24"/>
        </w:rPr>
        <w:t xml:space="preserve"> de </w:t>
      </w:r>
      <w:proofErr w:type="spellStart"/>
      <w:r w:rsidRPr="002D3AB1">
        <w:rPr>
          <w:sz w:val="24"/>
          <w:szCs w:val="24"/>
        </w:rPr>
        <w:t>muncă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vacante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şi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doresc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să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participe</w:t>
      </w:r>
      <w:proofErr w:type="spellEnd"/>
      <w:r w:rsidRPr="002D3AB1">
        <w:rPr>
          <w:sz w:val="24"/>
          <w:szCs w:val="24"/>
        </w:rPr>
        <w:t xml:space="preserve"> la </w:t>
      </w:r>
      <w:r w:rsidRPr="002D3AB1">
        <w:rPr>
          <w:rFonts w:eastAsia="SimSun"/>
          <w:sz w:val="24"/>
          <w:szCs w:val="24"/>
          <w:lang w:eastAsia="zh-CN"/>
        </w:rPr>
        <w:t xml:space="preserve">Bursa </w:t>
      </w:r>
      <w:proofErr w:type="spellStart"/>
      <w:r w:rsidRPr="002D3AB1">
        <w:rPr>
          <w:rFonts w:eastAsia="SimSun"/>
          <w:sz w:val="24"/>
          <w:szCs w:val="24"/>
          <w:lang w:eastAsia="zh-CN"/>
        </w:rPr>
        <w:t>Generală</w:t>
      </w:r>
      <w:proofErr w:type="spellEnd"/>
      <w:r w:rsidRPr="002D3AB1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2D3AB1">
        <w:rPr>
          <w:rFonts w:eastAsia="SimSun"/>
          <w:sz w:val="24"/>
          <w:szCs w:val="24"/>
          <w:lang w:eastAsia="zh-CN"/>
        </w:rPr>
        <w:t>Locurilor</w:t>
      </w:r>
      <w:proofErr w:type="spellEnd"/>
      <w:r w:rsidRPr="002D3AB1">
        <w:rPr>
          <w:rFonts w:eastAsia="SimSun"/>
          <w:sz w:val="24"/>
          <w:szCs w:val="24"/>
          <w:lang w:eastAsia="zh-CN"/>
        </w:rPr>
        <w:t xml:space="preserve"> de </w:t>
      </w:r>
      <w:proofErr w:type="spellStart"/>
      <w:r w:rsidRPr="002D3AB1">
        <w:rPr>
          <w:rFonts w:eastAsia="SimSun"/>
          <w:sz w:val="24"/>
          <w:szCs w:val="24"/>
          <w:lang w:eastAsia="zh-CN"/>
        </w:rPr>
        <w:t>Muncă</w:t>
      </w:r>
      <w:proofErr w:type="spellEnd"/>
      <w:r w:rsidRPr="002D3AB1">
        <w:rPr>
          <w:sz w:val="24"/>
          <w:szCs w:val="24"/>
        </w:rPr>
        <w:t xml:space="preserve"> sunt </w:t>
      </w:r>
      <w:proofErr w:type="spellStart"/>
      <w:r w:rsidRPr="002D3AB1">
        <w:rPr>
          <w:sz w:val="24"/>
          <w:szCs w:val="24"/>
        </w:rPr>
        <w:t>asteptaţi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să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îşi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proofErr w:type="gramStart"/>
      <w:r w:rsidRPr="002D3AB1">
        <w:rPr>
          <w:sz w:val="24"/>
          <w:szCs w:val="24"/>
        </w:rPr>
        <w:t>depună</w:t>
      </w:r>
      <w:proofErr w:type="spellEnd"/>
      <w:r w:rsidRPr="002D3AB1">
        <w:rPr>
          <w:sz w:val="24"/>
          <w:szCs w:val="24"/>
        </w:rPr>
        <w:t xml:space="preserve">  </w:t>
      </w:r>
      <w:proofErr w:type="spellStart"/>
      <w:r w:rsidRPr="002D3AB1">
        <w:rPr>
          <w:sz w:val="24"/>
          <w:szCs w:val="24"/>
        </w:rPr>
        <w:t>ofertele</w:t>
      </w:r>
      <w:proofErr w:type="spellEnd"/>
      <w:proofErr w:type="gram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privind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locurile</w:t>
      </w:r>
      <w:proofErr w:type="spellEnd"/>
      <w:r w:rsidRPr="002D3AB1">
        <w:rPr>
          <w:sz w:val="24"/>
          <w:szCs w:val="24"/>
        </w:rPr>
        <w:t xml:space="preserve"> de </w:t>
      </w:r>
      <w:proofErr w:type="spellStart"/>
      <w:r w:rsidRPr="002D3AB1">
        <w:rPr>
          <w:sz w:val="24"/>
          <w:szCs w:val="24"/>
        </w:rPr>
        <w:t>muncă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ce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vor</w:t>
      </w:r>
      <w:proofErr w:type="spellEnd"/>
      <w:r w:rsidRPr="002D3AB1">
        <w:rPr>
          <w:sz w:val="24"/>
          <w:szCs w:val="24"/>
        </w:rPr>
        <w:t xml:space="preserve"> fi </w:t>
      </w:r>
      <w:proofErr w:type="spellStart"/>
      <w:r w:rsidRPr="002D3AB1">
        <w:rPr>
          <w:sz w:val="24"/>
          <w:szCs w:val="24"/>
        </w:rPr>
        <w:t>oferite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în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cadrul</w:t>
      </w:r>
      <w:proofErr w:type="spellEnd"/>
      <w:r w:rsidRPr="002D3AB1">
        <w:rPr>
          <w:sz w:val="24"/>
          <w:szCs w:val="24"/>
        </w:rPr>
        <w:t xml:space="preserve"> </w:t>
      </w:r>
      <w:proofErr w:type="spellStart"/>
      <w:r w:rsidRPr="002D3AB1">
        <w:rPr>
          <w:sz w:val="24"/>
          <w:szCs w:val="24"/>
        </w:rPr>
        <w:t>bursei</w:t>
      </w:r>
      <w:proofErr w:type="spellEnd"/>
      <w:r w:rsidRPr="002D3A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8CEA7EF" w14:textId="77777777" w:rsidR="00FC7C0A" w:rsidRDefault="00FC7C0A" w:rsidP="00FC7C0A">
      <w:pPr>
        <w:ind w:left="720"/>
        <w:rPr>
          <w:sz w:val="24"/>
          <w:szCs w:val="24"/>
          <w:lang w:val="ro-RO"/>
        </w:rPr>
      </w:pPr>
      <w:r>
        <w:rPr>
          <w:sz w:val="24"/>
          <w:szCs w:val="24"/>
        </w:rPr>
        <w:t>B</w:t>
      </w:r>
      <w:r w:rsidRPr="002D3AB1">
        <w:rPr>
          <w:sz w:val="24"/>
          <w:szCs w:val="24"/>
          <w:lang w:val="ro-RO"/>
        </w:rPr>
        <w:t xml:space="preserve">ursa Generală a Locurilor de Muncă reprezintă una dintre măsurile active </w:t>
      </w:r>
      <w:proofErr w:type="gramStart"/>
      <w:r w:rsidRPr="002D3AB1">
        <w:rPr>
          <w:sz w:val="24"/>
          <w:szCs w:val="24"/>
          <w:lang w:val="ro-RO"/>
        </w:rPr>
        <w:t xml:space="preserve">destinată </w:t>
      </w:r>
      <w:r>
        <w:rPr>
          <w:sz w:val="24"/>
          <w:szCs w:val="24"/>
          <w:lang w:val="ro-RO"/>
        </w:rPr>
        <w:t xml:space="preserve"> </w:t>
      </w:r>
      <w:r w:rsidRPr="002D3AB1">
        <w:rPr>
          <w:sz w:val="24"/>
          <w:szCs w:val="24"/>
          <w:lang w:val="ro-RO"/>
        </w:rPr>
        <w:t>corelării</w:t>
      </w:r>
      <w:proofErr w:type="gramEnd"/>
      <w:r w:rsidRPr="002D3AB1">
        <w:rPr>
          <w:sz w:val="24"/>
          <w:szCs w:val="24"/>
          <w:lang w:val="ro-RO"/>
        </w:rPr>
        <w:t xml:space="preserve"> cererii și ofertei de forță de muncă, aflată mereu în atenția Agenției Județene pentru Ocuparea Forței de Muncă Dolj. Obiectivul principal al acestui eveniment îl constituie creșterea gradului de ocupare a forței de muncă, existând posibilitatea interacțiunii directe dintre angajator și solicitant.</w:t>
      </w:r>
    </w:p>
    <w:p w14:paraId="417115B4" w14:textId="53ACD75B" w:rsidR="00FC7C0A" w:rsidRPr="002D3AB1" w:rsidRDefault="00FC7C0A" w:rsidP="00FC7C0A">
      <w:pPr>
        <w:ind w:left="720"/>
        <w:rPr>
          <w:sz w:val="24"/>
          <w:szCs w:val="24"/>
          <w:lang w:val="ro-RO"/>
        </w:rPr>
      </w:pPr>
      <w:r w:rsidRPr="002D3AB1">
        <w:rPr>
          <w:sz w:val="24"/>
          <w:szCs w:val="24"/>
          <w:lang w:val="ro-RO"/>
        </w:rPr>
        <w:t>Bursa Generală a Locurilor de Muncă reprezintă o oportunitate pentru toți cei aflați în căutarea unui loc de muncă interesați, de a cunoște mai bine piața muncii, ofertele de locuri de muncă, pentru a putea astfel să aleagă un loc de muncă potrivit pregătirii profesionale sau, în ultimă instanță, să se orienteze/reorienteze profesional către ocupații cu mai mari posibilități de angajare pe termen mediu și lung.</w:t>
      </w:r>
    </w:p>
    <w:p w14:paraId="2A5A6CD0" w14:textId="34CF3C3C" w:rsidR="00FC7C0A" w:rsidRPr="002D3AB1" w:rsidRDefault="00FC7C0A" w:rsidP="00FC7C0A">
      <w:pPr>
        <w:tabs>
          <w:tab w:val="left" w:pos="4230"/>
        </w:tabs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</w:t>
      </w:r>
      <w:r w:rsidRPr="002D3AB1">
        <w:rPr>
          <w:sz w:val="24"/>
          <w:szCs w:val="24"/>
          <w:lang w:val="ro-RO"/>
        </w:rPr>
        <w:t>Participarea la acest eveniment este gratuită.</w:t>
      </w:r>
    </w:p>
    <w:p w14:paraId="7C47C6E0" w14:textId="77777777" w:rsidR="00FC7C0A" w:rsidRDefault="00FC7C0A" w:rsidP="00FC7C0A">
      <w:pPr>
        <w:spacing w:after="0"/>
        <w:ind w:left="0"/>
        <w:rPr>
          <w:sz w:val="24"/>
          <w:szCs w:val="24"/>
        </w:rPr>
      </w:pPr>
      <w:r w:rsidRPr="00973E2C">
        <w:rPr>
          <w:sz w:val="24"/>
          <w:szCs w:val="24"/>
        </w:rPr>
        <w:t xml:space="preserve">       </w:t>
      </w:r>
      <w:r w:rsidRPr="00973E2C">
        <w:rPr>
          <w:sz w:val="24"/>
          <w:szCs w:val="24"/>
        </w:rPr>
        <w:tab/>
      </w:r>
      <w:proofErr w:type="spellStart"/>
      <w:r w:rsidRPr="00973E2C">
        <w:rPr>
          <w:sz w:val="24"/>
          <w:szCs w:val="24"/>
        </w:rPr>
        <w:t>Agenţia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Judeţeană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pentru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Ocuparea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Forţei</w:t>
      </w:r>
      <w:proofErr w:type="spellEnd"/>
      <w:r w:rsidRPr="00973E2C">
        <w:rPr>
          <w:sz w:val="24"/>
          <w:szCs w:val="24"/>
        </w:rPr>
        <w:t xml:space="preserve"> de </w:t>
      </w:r>
      <w:proofErr w:type="spellStart"/>
      <w:r w:rsidRPr="00973E2C">
        <w:rPr>
          <w:sz w:val="24"/>
          <w:szCs w:val="24"/>
        </w:rPr>
        <w:t>Muncă</w:t>
      </w:r>
      <w:proofErr w:type="spellEnd"/>
      <w:r w:rsidRPr="00973E2C">
        <w:rPr>
          <w:sz w:val="24"/>
          <w:szCs w:val="24"/>
        </w:rPr>
        <w:t xml:space="preserve"> Dolj</w:t>
      </w:r>
    </w:p>
    <w:p w14:paraId="2D641A5C" w14:textId="77777777" w:rsidR="00FC7C0A" w:rsidRPr="00973E2C" w:rsidRDefault="00FC7C0A" w:rsidP="00D162C6">
      <w:pPr>
        <w:spacing w:after="0"/>
        <w:ind w:left="0"/>
        <w:rPr>
          <w:sz w:val="24"/>
          <w:szCs w:val="24"/>
        </w:rPr>
      </w:pPr>
    </w:p>
    <w:sectPr w:rsidR="00FC7C0A" w:rsidRPr="00973E2C" w:rsidSect="001D301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ED1E" w14:textId="77777777" w:rsidR="00EB376A" w:rsidRDefault="00EB376A" w:rsidP="00EB376A">
      <w:pPr>
        <w:spacing w:after="0" w:line="240" w:lineRule="auto"/>
      </w:pPr>
      <w:r>
        <w:separator/>
      </w:r>
    </w:p>
  </w:endnote>
  <w:endnote w:type="continuationSeparator" w:id="0">
    <w:p w14:paraId="3F7D09E7" w14:textId="77777777" w:rsidR="00EB376A" w:rsidRDefault="00EB376A" w:rsidP="00EB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7D85" w14:textId="77777777" w:rsidR="00973E2C" w:rsidRDefault="00973E2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41F36DA" w14:textId="77777777" w:rsidR="00973E2C" w:rsidRDefault="00973E2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14:paraId="0C881361" w14:textId="77777777" w:rsidR="00973E2C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B2B9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35CA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5B5C1CF8" w14:textId="77777777" w:rsidR="00973E2C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14:paraId="77D040CA" w14:textId="77777777" w:rsidR="00973E2C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14:paraId="0B527867" w14:textId="77777777" w:rsidR="00973E2C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14:paraId="75E1B3FF" w14:textId="77777777" w:rsidR="00973E2C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14:paraId="6EC340C2" w14:textId="77777777" w:rsidR="00973E2C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3984DE2" w14:textId="77777777" w:rsidR="00973E2C" w:rsidRPr="00302690" w:rsidRDefault="00973E2C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310B" w14:textId="77777777" w:rsidR="00973E2C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35CA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35CA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6D022AF7" w14:textId="77777777" w:rsidR="00973E2C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14:paraId="073739E0" w14:textId="77777777" w:rsidR="00973E2C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14:paraId="6CB3E877" w14:textId="77777777" w:rsidR="00973E2C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14:paraId="4CEA0FDF" w14:textId="77777777" w:rsidR="00973E2C" w:rsidRPr="00992E9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4A6FB48E" w14:textId="77777777" w:rsidR="00973E2C" w:rsidRPr="00302690" w:rsidRDefault="00973E2C" w:rsidP="00BB0798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B69A" w14:textId="77777777" w:rsidR="00EB376A" w:rsidRDefault="00EB376A" w:rsidP="00EB376A">
      <w:pPr>
        <w:spacing w:after="0" w:line="240" w:lineRule="auto"/>
      </w:pPr>
      <w:r>
        <w:separator/>
      </w:r>
    </w:p>
  </w:footnote>
  <w:footnote w:type="continuationSeparator" w:id="0">
    <w:p w14:paraId="1EE84E24" w14:textId="77777777" w:rsidR="00EB376A" w:rsidRDefault="00EB376A" w:rsidP="00EB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14:paraId="14D75CE4" w14:textId="77777777" w:rsidTr="00DC08D4">
      <w:tc>
        <w:tcPr>
          <w:tcW w:w="5103" w:type="dxa"/>
          <w:shd w:val="clear" w:color="auto" w:fill="auto"/>
        </w:tcPr>
        <w:p w14:paraId="1B98A046" w14:textId="77777777" w:rsidR="009706CA" w:rsidRDefault="009706CA" w:rsidP="009706CA">
          <w:pPr>
            <w:tabs>
              <w:tab w:val="left" w:pos="7275"/>
            </w:tabs>
            <w:ind w:left="284"/>
          </w:pPr>
          <w:r>
            <w:tab/>
          </w:r>
        </w:p>
        <w:tbl>
          <w:tblPr>
            <w:tblpPr w:leftFromText="180" w:rightFromText="180" w:vertAnchor="text" w:tblpY="1"/>
            <w:tblOverlap w:val="never"/>
            <w:tblW w:w="5103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818"/>
          </w:tblGrid>
          <w:tr w:rsidR="009706CA" w14:paraId="1CB06FE4" w14:textId="77777777" w:rsidTr="00F90DB6">
            <w:tc>
              <w:tcPr>
                <w:tcW w:w="5103" w:type="dxa"/>
                <w:shd w:val="clear" w:color="auto" w:fill="auto"/>
              </w:tcPr>
              <w:p w14:paraId="49496BBB" w14:textId="77777777" w:rsidR="009706CA" w:rsidRDefault="009706CA" w:rsidP="009706CA">
                <w:pPr>
                  <w:pStyle w:val="MediumGrid21"/>
                  <w:ind w:left="1440"/>
                </w:pPr>
                <w:r>
                  <w:rPr>
                    <w:noProof/>
                  </w:rPr>
                  <w:drawing>
                    <wp:inline distT="0" distB="0" distL="0" distR="0" wp14:anchorId="3257CC4B" wp14:editId="6D452632">
                      <wp:extent cx="4050030" cy="502104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58332" cy="527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0B6B7A8" w14:textId="77777777" w:rsidR="009706CA" w:rsidRPr="00CD5B3B" w:rsidRDefault="009706CA" w:rsidP="009706CA">
                <w:pPr>
                  <w:pStyle w:val="MediumGrid21"/>
                  <w:ind w:left="1440"/>
                </w:pPr>
              </w:p>
            </w:tc>
          </w:tr>
        </w:tbl>
        <w:p w14:paraId="37C138B9" w14:textId="77777777" w:rsidR="009706CA" w:rsidRDefault="009706CA" w:rsidP="009706CA">
          <w:pPr>
            <w:pStyle w:val="Header"/>
            <w:ind w:left="0"/>
          </w:pPr>
        </w:p>
        <w:p w14:paraId="0AA9E235" w14:textId="77777777" w:rsidR="009706CA" w:rsidRPr="00CD5B3B" w:rsidRDefault="009706CA" w:rsidP="009706CA">
          <w:pPr>
            <w:pStyle w:val="Header"/>
            <w:ind w:left="0"/>
          </w:pPr>
        </w:p>
        <w:p w14:paraId="692D95C4" w14:textId="66426138" w:rsidR="00973E2C" w:rsidRPr="00CD5B3B" w:rsidRDefault="00973E2C" w:rsidP="00F44190">
          <w:pPr>
            <w:pStyle w:val="MediumGrid21"/>
            <w:ind w:left="1440"/>
          </w:pPr>
        </w:p>
      </w:tc>
    </w:tr>
  </w:tbl>
  <w:p w14:paraId="251364C1" w14:textId="77777777" w:rsidR="00973E2C" w:rsidRPr="00CD5B3B" w:rsidRDefault="000A12CC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14:paraId="6B6F4551" w14:textId="77777777" w:rsidTr="0040529C">
      <w:tc>
        <w:tcPr>
          <w:tcW w:w="4822" w:type="dxa"/>
          <w:shd w:val="clear" w:color="auto" w:fill="auto"/>
        </w:tcPr>
        <w:tbl>
          <w:tblPr>
            <w:tblW w:w="1134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6"/>
            <w:gridCol w:w="567"/>
            <w:gridCol w:w="2268"/>
          </w:tblGrid>
          <w:tr w:rsidR="00F67CD1" w:rsidRPr="00F67CD1" w14:paraId="416C18BC" w14:textId="77777777" w:rsidTr="00F90DB6">
            <w:tc>
              <w:tcPr>
                <w:tcW w:w="8506" w:type="dxa"/>
                <w:shd w:val="clear" w:color="auto" w:fill="auto"/>
              </w:tcPr>
              <w:tbl>
                <w:tblPr>
                  <w:tblW w:w="10773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647"/>
                  <w:gridCol w:w="2126"/>
                </w:tblGrid>
                <w:tr w:rsidR="00F67CD1" w:rsidRPr="00F67CD1" w14:paraId="0D04326A" w14:textId="77777777" w:rsidTr="00F90DB6">
                  <w:tc>
                    <w:tcPr>
                      <w:tcW w:w="8647" w:type="dxa"/>
                      <w:shd w:val="clear" w:color="auto" w:fill="auto"/>
                    </w:tcPr>
                    <w:p w14:paraId="1BB3A26F" w14:textId="77777777" w:rsidR="00F67CD1" w:rsidRPr="00F67CD1" w:rsidRDefault="00F67CD1" w:rsidP="00F67CD1">
                      <w:pPr>
                        <w:spacing w:after="0" w:line="240" w:lineRule="auto"/>
                        <w:ind w:left="0"/>
                        <w:jc w:val="left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F67CD1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0E4B3E0" wp14:editId="00D55E70">
                            <wp:extent cx="5010922" cy="899162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-MMFTSS-2025 cu coroana RGB ro centrat1 25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0922" cy="899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14:paraId="556B3605" w14:textId="77777777" w:rsidR="00F67CD1" w:rsidRPr="00F67CD1" w:rsidRDefault="00F67CD1" w:rsidP="00F67CD1">
                      <w:pPr>
                        <w:spacing w:after="0" w:line="240" w:lineRule="auto"/>
                        <w:ind w:left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F67CD1">
                        <w:rPr>
                          <w:noProof/>
                          <w:sz w:val="18"/>
                          <w:szCs w:val="18"/>
                        </w:rPr>
                        <w:drawing>
                          <wp:anchor distT="0" distB="0" distL="114300" distR="114300" simplePos="0" relativeHeight="251659264" behindDoc="0" locked="0" layoutInCell="1" allowOverlap="1" wp14:anchorId="14949BCC" wp14:editId="2429A1ED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38225" cy="501015"/>
                            <wp:effectExtent l="0" t="0" r="9525" b="0"/>
                            <wp:wrapNone/>
                            <wp:docPr id="32" name="Picture 2" descr="logo-anof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anof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</w:tr>
              </w:tbl>
              <w:p w14:paraId="750EC2C1" w14:textId="77777777" w:rsidR="00F67CD1" w:rsidRPr="00F67CD1" w:rsidRDefault="00F67CD1" w:rsidP="00F67CD1">
                <w:pPr>
                  <w:tabs>
                    <w:tab w:val="center" w:pos="4320"/>
                    <w:tab w:val="right" w:pos="8640"/>
                  </w:tabs>
                  <w:ind w:left="0"/>
                  <w:rPr>
                    <w:sz w:val="6"/>
                    <w:szCs w:val="6"/>
                  </w:rPr>
                </w:pPr>
              </w:p>
              <w:p w14:paraId="5252536F" w14:textId="77777777" w:rsidR="00F67CD1" w:rsidRPr="00F67CD1" w:rsidRDefault="00F67CD1" w:rsidP="00F67CD1">
                <w:pPr>
                  <w:spacing w:after="0" w:line="240" w:lineRule="auto"/>
                  <w:ind w:left="-425" w:firstLine="425"/>
                  <w:jc w:val="left"/>
                  <w:rPr>
                    <w:sz w:val="18"/>
                    <w:szCs w:val="18"/>
                    <w:lang w:val="ro-RO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B57A3C3" w14:textId="77777777" w:rsidR="00F67CD1" w:rsidRPr="00F67CD1" w:rsidRDefault="00F67CD1" w:rsidP="00F67CD1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2C3252E6" w14:textId="77777777" w:rsidR="00F67CD1" w:rsidRPr="00F67CD1" w:rsidRDefault="00F67CD1" w:rsidP="00F67CD1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21A2F9FA" w14:textId="77777777" w:rsidR="00F67CD1" w:rsidRPr="00F67CD1" w:rsidRDefault="00F67CD1" w:rsidP="00F67CD1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045CBD0C" w14:textId="77777777" w:rsidR="00F67CD1" w:rsidRPr="00F67CD1" w:rsidRDefault="00F67CD1" w:rsidP="00F67CD1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74CD24F0" w14:textId="77777777" w:rsidR="00F67CD1" w:rsidRPr="00F67CD1" w:rsidRDefault="00F67CD1" w:rsidP="00F67CD1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7D0EF223" w14:textId="77777777" w:rsidR="00F67CD1" w:rsidRPr="00F67CD1" w:rsidRDefault="00F67CD1" w:rsidP="00F67CD1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14:paraId="6AFDAD0D" w14:textId="77777777" w:rsidR="00F67CD1" w:rsidRPr="00F67CD1" w:rsidRDefault="00F67CD1" w:rsidP="00F67CD1">
          <w:pPr>
            <w:tabs>
              <w:tab w:val="center" w:pos="4320"/>
              <w:tab w:val="right" w:pos="8640"/>
            </w:tabs>
            <w:ind w:left="0"/>
          </w:pPr>
        </w:p>
        <w:p w14:paraId="71B2545B" w14:textId="164E7D0E" w:rsidR="00973E2C" w:rsidRPr="002D0CDC" w:rsidRDefault="00973E2C" w:rsidP="0040529C">
          <w:pPr>
            <w:pStyle w:val="MediumGrid21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615B25E9" w14:textId="77777777" w:rsidR="00973E2C" w:rsidRDefault="00973E2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00CA496B" w14:textId="601F7BD8" w:rsidR="00973E2C" w:rsidRPr="002D0CDC" w:rsidRDefault="00973E2C" w:rsidP="00E75DB3">
          <w:pPr>
            <w:pStyle w:val="MediumGrid21"/>
            <w:jc w:val="right"/>
            <w:rPr>
              <w:lang w:val="ro-RO"/>
            </w:rPr>
          </w:pPr>
        </w:p>
      </w:tc>
    </w:tr>
  </w:tbl>
  <w:p w14:paraId="26C31E27" w14:textId="77777777" w:rsidR="00973E2C" w:rsidRDefault="00973E2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E1931"/>
    <w:multiLevelType w:val="hybridMultilevel"/>
    <w:tmpl w:val="39CEE5EA"/>
    <w:lvl w:ilvl="0" w:tplc="CDB095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F2AAA"/>
    <w:multiLevelType w:val="hybridMultilevel"/>
    <w:tmpl w:val="E63ACF96"/>
    <w:lvl w:ilvl="0" w:tplc="D186A15C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76408">
    <w:abstractNumId w:val="1"/>
  </w:num>
  <w:num w:numId="2" w16cid:durableId="140086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6A"/>
    <w:rsid w:val="000115CC"/>
    <w:rsid w:val="000A12CC"/>
    <w:rsid w:val="001B48CB"/>
    <w:rsid w:val="001C1C58"/>
    <w:rsid w:val="002C2DB0"/>
    <w:rsid w:val="00300EFB"/>
    <w:rsid w:val="00301A1F"/>
    <w:rsid w:val="0031487B"/>
    <w:rsid w:val="00486B2D"/>
    <w:rsid w:val="004B2B9D"/>
    <w:rsid w:val="00635CAA"/>
    <w:rsid w:val="007B0DDD"/>
    <w:rsid w:val="00832232"/>
    <w:rsid w:val="00893345"/>
    <w:rsid w:val="008B628A"/>
    <w:rsid w:val="0092464B"/>
    <w:rsid w:val="00944188"/>
    <w:rsid w:val="009706CA"/>
    <w:rsid w:val="00973E2C"/>
    <w:rsid w:val="00993660"/>
    <w:rsid w:val="00AB0948"/>
    <w:rsid w:val="00B044DE"/>
    <w:rsid w:val="00B74A18"/>
    <w:rsid w:val="00BB0BCB"/>
    <w:rsid w:val="00D162C6"/>
    <w:rsid w:val="00DE27D6"/>
    <w:rsid w:val="00DE4B91"/>
    <w:rsid w:val="00EA18C3"/>
    <w:rsid w:val="00EB376A"/>
    <w:rsid w:val="00F02FBF"/>
    <w:rsid w:val="00F3453E"/>
    <w:rsid w:val="00F67CD1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9654FB"/>
  <w15:docId w15:val="{0A989589-82DC-4921-89EC-CC88C457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6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6A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6A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B376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EB376A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EB376A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EB376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76A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B376A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EB376A"/>
  </w:style>
  <w:style w:type="paragraph" w:styleId="BalloonText">
    <w:name w:val="Balloon Text"/>
    <w:basedOn w:val="Normal"/>
    <w:link w:val="BalloonTextChar"/>
    <w:uiPriority w:val="99"/>
    <w:semiHidden/>
    <w:unhideWhenUsed/>
    <w:rsid w:val="00EB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6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16</cp:revision>
  <cp:lastPrinted>2025-05-21T08:06:00Z</cp:lastPrinted>
  <dcterms:created xsi:type="dcterms:W3CDTF">2022-05-23T06:35:00Z</dcterms:created>
  <dcterms:modified xsi:type="dcterms:W3CDTF">2025-05-21T08:08:00Z</dcterms:modified>
</cp:coreProperties>
</file>