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A80" w:rsidRDefault="00CE4A80" w:rsidP="00CE4A80">
      <w:pPr>
        <w:ind w:left="0"/>
        <w:rPr>
          <w:sz w:val="14"/>
          <w:lang w:val="ro-RO"/>
        </w:rPr>
      </w:pPr>
    </w:p>
    <w:p w:rsidR="00CE4A80" w:rsidRDefault="00CE4A80" w:rsidP="00CE4A80">
      <w:pPr>
        <w:pStyle w:val="Heading3"/>
        <w:numPr>
          <w:ilvl w:val="0"/>
          <w:numId w:val="1"/>
        </w:numPr>
        <w:spacing w:before="0"/>
        <w:rPr>
          <w:rFonts w:ascii="Trebuchet MS" w:hAnsi="Trebuchet MS"/>
          <w:bCs w:val="0"/>
          <w:color w:val="auto"/>
          <w:lang w:val="es-ES"/>
        </w:rPr>
      </w:pPr>
      <w:r w:rsidRPr="003946AF">
        <w:rPr>
          <w:rFonts w:cs="Helvetica"/>
          <w:color w:val="FF0000"/>
        </w:rPr>
        <w:t xml:space="preserve"> </w:t>
      </w:r>
      <w:r w:rsidRPr="001A6098">
        <w:rPr>
          <w:rFonts w:ascii="Trebuchet MS" w:hAnsi="Trebuchet MS"/>
          <w:bCs w:val="0"/>
          <w:color w:val="auto"/>
          <w:lang w:val="es-ES"/>
        </w:rPr>
        <w:t xml:space="preserve">Realizările Agenţiei Judeţene pentru Ocuparea Forţei de Muncă Dolj în domeniul formării profesionale </w:t>
      </w:r>
      <w:r>
        <w:rPr>
          <w:rFonts w:ascii="Trebuchet MS" w:hAnsi="Trebuchet MS"/>
          <w:bCs w:val="0"/>
          <w:color w:val="auto"/>
          <w:lang w:val="es-ES"/>
        </w:rPr>
        <w:t>la luna noiembrie 2023</w:t>
      </w:r>
    </w:p>
    <w:p w:rsidR="00CE4A80" w:rsidRPr="001A6098" w:rsidRDefault="00CE4A80" w:rsidP="00CE4A80">
      <w:pPr>
        <w:pStyle w:val="ListParagraph"/>
        <w:ind w:left="630"/>
      </w:pPr>
      <w:r w:rsidRPr="001A6098">
        <w:t>Persoanele în căutarea unui loc de muncă pot participa la programe de formare profesională care să le asigure creşterea şi diversificarea competenţelor profesionale în scopul asigurării mobilităţii şi reintegrării pe piaţa muncii. Formarea profesională a persoanelor în căutarea unui loc de muncă se face ţinându-se seama de cerinţele de moment şi de perspectiva pieţii muncii şi în concordanţă cu opţiunile şi aptitudinile individuale ale persoanelor respective.</w:t>
      </w:r>
    </w:p>
    <w:p w:rsidR="00CE4A80" w:rsidRPr="001A6098" w:rsidRDefault="00CE4A80" w:rsidP="00CE4A80">
      <w:pPr>
        <w:widowControl w:val="0"/>
        <w:suppressAutoHyphens/>
        <w:spacing w:after="0"/>
        <w:ind w:left="600"/>
        <w:textAlignment w:val="baseline"/>
      </w:pPr>
      <w:r w:rsidRPr="001A6098">
        <w:rPr>
          <w:lang w:val="es-ES"/>
        </w:rPr>
        <w:t>Programele de formare profesională sunt gratuite pentru persoanele aflate în căutarea unui loc de muncă, înregistrate la agenţie (şomeri indemnizaţi şi neindemnizaţi).</w:t>
      </w:r>
    </w:p>
    <w:p w:rsidR="00CE4A80" w:rsidRPr="001A6098" w:rsidRDefault="00CE4A80" w:rsidP="00CE4A80">
      <w:pPr>
        <w:pStyle w:val="Heading3"/>
        <w:spacing w:before="0"/>
        <w:ind w:left="600"/>
        <w:rPr>
          <w:rFonts w:ascii="Trebuchet MS" w:hAnsi="Trebuchet MS"/>
          <w:b w:val="0"/>
          <w:color w:val="auto"/>
          <w:lang w:val="en-GB"/>
        </w:rPr>
      </w:pPr>
      <w:r w:rsidRPr="001A6098">
        <w:rPr>
          <w:rFonts w:ascii="Trebuchet MS" w:hAnsi="Trebuchet MS"/>
          <w:b w:val="0"/>
          <w:bCs w:val="0"/>
          <w:color w:val="auto"/>
          <w:lang w:val="en-GB"/>
        </w:rPr>
        <w:t>În domeniul formării profesionale</w:t>
      </w:r>
      <w:r>
        <w:rPr>
          <w:rFonts w:ascii="Trebuchet MS" w:hAnsi="Trebuchet MS"/>
          <w:b w:val="0"/>
          <w:color w:val="auto"/>
          <w:lang w:val="en-GB"/>
        </w:rPr>
        <w:t xml:space="preserve"> în anul 2024</w:t>
      </w:r>
      <w:r w:rsidRPr="001A6098">
        <w:rPr>
          <w:rFonts w:ascii="Trebuchet MS" w:hAnsi="Trebuchet MS"/>
          <w:b w:val="0"/>
          <w:color w:val="auto"/>
          <w:lang w:val="en-GB"/>
        </w:rPr>
        <w:t xml:space="preserve"> </w:t>
      </w:r>
      <w:r>
        <w:rPr>
          <w:rFonts w:ascii="Trebuchet MS" w:hAnsi="Trebuchet MS"/>
          <w:b w:val="0"/>
          <w:color w:val="auto"/>
          <w:lang w:val="en-GB"/>
        </w:rPr>
        <w:t>s-au desfășurast 31</w:t>
      </w:r>
      <w:r w:rsidRPr="001A6098">
        <w:rPr>
          <w:rFonts w:ascii="Trebuchet MS" w:hAnsi="Trebuchet MS"/>
          <w:b w:val="0"/>
          <w:color w:val="auto"/>
          <w:lang w:val="en-GB"/>
        </w:rPr>
        <w:t xml:space="preserve"> de </w:t>
      </w:r>
      <w:r>
        <w:rPr>
          <w:rFonts w:ascii="Trebuchet MS" w:hAnsi="Trebuchet MS"/>
          <w:b w:val="0"/>
          <w:color w:val="auto"/>
          <w:lang w:val="en-GB"/>
        </w:rPr>
        <w:t>cursuri</w:t>
      </w:r>
      <w:r w:rsidRPr="001A6098">
        <w:rPr>
          <w:rFonts w:ascii="Trebuchet MS" w:hAnsi="Trebuchet MS"/>
          <w:b w:val="0"/>
          <w:color w:val="auto"/>
          <w:lang w:val="en-GB"/>
        </w:rPr>
        <w:t xml:space="preserve"> din bugetul asigurărilor pentru şomaj,</w:t>
      </w:r>
      <w:r>
        <w:rPr>
          <w:rFonts w:ascii="Trebuchet MS" w:hAnsi="Trebuchet MS"/>
          <w:b w:val="0"/>
          <w:color w:val="auto"/>
          <w:lang w:val="en-GB"/>
        </w:rPr>
        <w:t xml:space="preserve"> la care au aprticipat 428 de someri, dintre care 268 femei. </w:t>
      </w:r>
      <w:r w:rsidRPr="001A6098">
        <w:rPr>
          <w:rFonts w:ascii="Trebuchet MS" w:hAnsi="Trebuchet MS"/>
          <w:b w:val="0"/>
          <w:color w:val="auto"/>
          <w:lang w:val="en-GB"/>
        </w:rPr>
        <w:t>Acestea s-au organizat în următoarele meserii:</w:t>
      </w:r>
    </w:p>
    <w:p w:rsidR="00CE4A80" w:rsidRDefault="00CE4A80" w:rsidP="00CE4A80">
      <w:pPr>
        <w:pStyle w:val="ListParagraph"/>
        <w:widowControl w:val="0"/>
        <w:overflowPunct w:val="0"/>
        <w:autoSpaceDE w:val="0"/>
        <w:autoSpaceDN w:val="0"/>
        <w:adjustRightInd w:val="0"/>
        <w:spacing w:after="0" w:line="240" w:lineRule="auto"/>
        <w:rPr>
          <w:rFonts w:cs="Trebuchet MS"/>
          <w:lang w:val="ro-RO"/>
        </w:rPr>
      </w:pPr>
    </w:p>
    <w:tbl>
      <w:tblPr>
        <w:tblW w:w="6223" w:type="dxa"/>
        <w:tblInd w:w="98" w:type="dxa"/>
        <w:tblLook w:val="04A0" w:firstRow="1" w:lastRow="0" w:firstColumn="1" w:lastColumn="0" w:noHBand="0" w:noVBand="1"/>
      </w:tblPr>
      <w:tblGrid>
        <w:gridCol w:w="1167"/>
        <w:gridCol w:w="4004"/>
        <w:gridCol w:w="1052"/>
      </w:tblGrid>
      <w:tr w:rsidR="00CE4A80" w:rsidRPr="006401B4" w:rsidTr="007C6D5B">
        <w:trPr>
          <w:trHeight w:val="315"/>
        </w:trPr>
        <w:tc>
          <w:tcPr>
            <w:tcW w:w="1167" w:type="dxa"/>
            <w:tcBorders>
              <w:top w:val="single" w:sz="4" w:space="0" w:color="auto"/>
              <w:left w:val="single" w:sz="8" w:space="0" w:color="auto"/>
              <w:bottom w:val="nil"/>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1</w:t>
            </w:r>
          </w:p>
        </w:tc>
        <w:tc>
          <w:tcPr>
            <w:tcW w:w="4004" w:type="dxa"/>
            <w:tcBorders>
              <w:top w:val="single" w:sz="4" w:space="0" w:color="auto"/>
              <w:left w:val="nil"/>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Ingrijitoare copii</w:t>
            </w:r>
          </w:p>
        </w:tc>
        <w:tc>
          <w:tcPr>
            <w:tcW w:w="1052" w:type="dxa"/>
            <w:tcBorders>
              <w:top w:val="single" w:sz="4" w:space="0" w:color="auto"/>
              <w:left w:val="nil"/>
              <w:bottom w:val="nil"/>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1</w:t>
            </w:r>
          </w:p>
        </w:tc>
      </w:tr>
      <w:tr w:rsidR="00CE4A80" w:rsidRPr="006401B4" w:rsidTr="007C6D5B">
        <w:trPr>
          <w:trHeight w:val="315"/>
        </w:trPr>
        <w:tc>
          <w:tcPr>
            <w:tcW w:w="1167" w:type="dxa"/>
            <w:tcBorders>
              <w:top w:val="single" w:sz="4" w:space="0" w:color="auto"/>
              <w:left w:val="single" w:sz="8" w:space="0" w:color="auto"/>
              <w:bottom w:val="nil"/>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2</w:t>
            </w:r>
          </w:p>
        </w:tc>
        <w:tc>
          <w:tcPr>
            <w:tcW w:w="4004" w:type="dxa"/>
            <w:tcBorders>
              <w:top w:val="nil"/>
              <w:left w:val="nil"/>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Manager de proiect</w:t>
            </w:r>
          </w:p>
        </w:tc>
        <w:tc>
          <w:tcPr>
            <w:tcW w:w="1052" w:type="dxa"/>
            <w:tcBorders>
              <w:top w:val="single" w:sz="4" w:space="0" w:color="auto"/>
              <w:left w:val="nil"/>
              <w:bottom w:val="nil"/>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2</w:t>
            </w:r>
          </w:p>
        </w:tc>
      </w:tr>
      <w:tr w:rsidR="00CE4A80" w:rsidRPr="006401B4" w:rsidTr="007C6D5B">
        <w:trPr>
          <w:trHeight w:val="315"/>
        </w:trPr>
        <w:tc>
          <w:tcPr>
            <w:tcW w:w="1167" w:type="dxa"/>
            <w:tcBorders>
              <w:top w:val="single" w:sz="4" w:space="0" w:color="auto"/>
              <w:left w:val="single" w:sz="8" w:space="0" w:color="auto"/>
              <w:bottom w:val="nil"/>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3</w:t>
            </w:r>
          </w:p>
        </w:tc>
        <w:tc>
          <w:tcPr>
            <w:tcW w:w="4004" w:type="dxa"/>
            <w:tcBorders>
              <w:top w:val="nil"/>
              <w:left w:val="nil"/>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Manager resurse umane</w:t>
            </w:r>
          </w:p>
        </w:tc>
        <w:tc>
          <w:tcPr>
            <w:tcW w:w="1052" w:type="dxa"/>
            <w:tcBorders>
              <w:top w:val="single" w:sz="4" w:space="0" w:color="auto"/>
              <w:left w:val="nil"/>
              <w:bottom w:val="nil"/>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2</w:t>
            </w:r>
          </w:p>
        </w:tc>
      </w:tr>
      <w:tr w:rsidR="00CE4A80" w:rsidRPr="006401B4" w:rsidTr="007C6D5B">
        <w:trPr>
          <w:trHeight w:val="315"/>
        </w:trPr>
        <w:tc>
          <w:tcPr>
            <w:tcW w:w="1167" w:type="dxa"/>
            <w:tcBorders>
              <w:top w:val="single" w:sz="4" w:space="0" w:color="auto"/>
              <w:left w:val="single" w:sz="8" w:space="0" w:color="auto"/>
              <w:bottom w:val="nil"/>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4</w:t>
            </w:r>
          </w:p>
        </w:tc>
        <w:tc>
          <w:tcPr>
            <w:tcW w:w="4004" w:type="dxa"/>
            <w:tcBorders>
              <w:top w:val="nil"/>
              <w:left w:val="nil"/>
              <w:bottom w:val="nil"/>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Ajutor de bucatar</w:t>
            </w:r>
          </w:p>
        </w:tc>
        <w:tc>
          <w:tcPr>
            <w:tcW w:w="1052" w:type="dxa"/>
            <w:tcBorders>
              <w:top w:val="single" w:sz="4" w:space="0" w:color="auto"/>
              <w:left w:val="nil"/>
              <w:bottom w:val="nil"/>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2</w:t>
            </w:r>
          </w:p>
        </w:tc>
      </w:tr>
      <w:tr w:rsidR="00CE4A80" w:rsidRPr="006401B4" w:rsidTr="007C6D5B">
        <w:trPr>
          <w:trHeight w:val="315"/>
        </w:trPr>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5</w:t>
            </w:r>
          </w:p>
        </w:tc>
        <w:tc>
          <w:tcPr>
            <w:tcW w:w="4004" w:type="dxa"/>
            <w:tcBorders>
              <w:top w:val="single" w:sz="4" w:space="0" w:color="auto"/>
              <w:left w:val="nil"/>
              <w:bottom w:val="single" w:sz="4" w:space="0" w:color="auto"/>
              <w:right w:val="single" w:sz="4" w:space="0" w:color="auto"/>
            </w:tcBorders>
            <w:shd w:val="clear" w:color="000000" w:fill="FFFFFF"/>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Montator instalatii solare</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1</w:t>
            </w:r>
          </w:p>
        </w:tc>
      </w:tr>
      <w:tr w:rsidR="00CE4A80" w:rsidRPr="006401B4" w:rsidTr="007C6D5B">
        <w:trPr>
          <w:trHeight w:val="525"/>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6</w:t>
            </w:r>
          </w:p>
        </w:tc>
        <w:tc>
          <w:tcPr>
            <w:tcW w:w="4004" w:type="dxa"/>
            <w:tcBorders>
              <w:top w:val="nil"/>
              <w:left w:val="nil"/>
              <w:bottom w:val="single" w:sz="4" w:space="0" w:color="auto"/>
              <w:right w:val="single" w:sz="4" w:space="0" w:color="auto"/>
            </w:tcBorders>
            <w:shd w:val="clear" w:color="auto" w:fill="auto"/>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Operator introducere validare si prelucrare date</w:t>
            </w:r>
          </w:p>
        </w:tc>
        <w:tc>
          <w:tcPr>
            <w:tcW w:w="1052" w:type="dxa"/>
            <w:tcBorders>
              <w:top w:val="nil"/>
              <w:left w:val="nil"/>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2</w:t>
            </w:r>
          </w:p>
        </w:tc>
      </w:tr>
      <w:tr w:rsidR="00CE4A80" w:rsidRPr="006401B4" w:rsidTr="007C6D5B">
        <w:trPr>
          <w:trHeight w:val="315"/>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7</w:t>
            </w:r>
          </w:p>
        </w:tc>
        <w:tc>
          <w:tcPr>
            <w:tcW w:w="4004" w:type="dxa"/>
            <w:tcBorders>
              <w:top w:val="nil"/>
              <w:left w:val="nil"/>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Contabil</w:t>
            </w:r>
          </w:p>
        </w:tc>
        <w:tc>
          <w:tcPr>
            <w:tcW w:w="1052" w:type="dxa"/>
            <w:tcBorders>
              <w:top w:val="nil"/>
              <w:left w:val="nil"/>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1</w:t>
            </w:r>
          </w:p>
        </w:tc>
      </w:tr>
      <w:tr w:rsidR="00CE4A80" w:rsidRPr="006401B4" w:rsidTr="007C6D5B">
        <w:trPr>
          <w:trHeight w:val="315"/>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8</w:t>
            </w:r>
          </w:p>
        </w:tc>
        <w:tc>
          <w:tcPr>
            <w:tcW w:w="4004" w:type="dxa"/>
            <w:tcBorders>
              <w:top w:val="nil"/>
              <w:left w:val="nil"/>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Lucrator comercial</w:t>
            </w:r>
          </w:p>
        </w:tc>
        <w:tc>
          <w:tcPr>
            <w:tcW w:w="1052" w:type="dxa"/>
            <w:tcBorders>
              <w:top w:val="nil"/>
              <w:left w:val="nil"/>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2</w:t>
            </w:r>
          </w:p>
        </w:tc>
      </w:tr>
      <w:tr w:rsidR="00CE4A80" w:rsidRPr="006401B4" w:rsidTr="007C6D5B">
        <w:trPr>
          <w:trHeight w:val="78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9</w:t>
            </w:r>
          </w:p>
        </w:tc>
        <w:tc>
          <w:tcPr>
            <w:tcW w:w="4004" w:type="dxa"/>
            <w:tcBorders>
              <w:top w:val="nil"/>
              <w:left w:val="nil"/>
              <w:bottom w:val="single" w:sz="4" w:space="0" w:color="auto"/>
              <w:right w:val="single" w:sz="4" w:space="0" w:color="auto"/>
            </w:tcBorders>
            <w:shd w:val="clear" w:color="auto" w:fill="auto"/>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Competente de comunicare in limba romana si in limba materna in cazul minoritatilor nationale</w:t>
            </w:r>
          </w:p>
        </w:tc>
        <w:tc>
          <w:tcPr>
            <w:tcW w:w="1052" w:type="dxa"/>
            <w:tcBorders>
              <w:top w:val="nil"/>
              <w:left w:val="nil"/>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2</w:t>
            </w:r>
          </w:p>
        </w:tc>
      </w:tr>
      <w:tr w:rsidR="00CE4A80" w:rsidRPr="006401B4" w:rsidTr="007C6D5B">
        <w:trPr>
          <w:trHeight w:val="78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10</w:t>
            </w:r>
          </w:p>
        </w:tc>
        <w:tc>
          <w:tcPr>
            <w:tcW w:w="4004" w:type="dxa"/>
            <w:tcBorders>
              <w:top w:val="nil"/>
              <w:left w:val="nil"/>
              <w:bottom w:val="single" w:sz="4" w:space="0" w:color="auto"/>
              <w:right w:val="single" w:sz="4" w:space="0" w:color="auto"/>
            </w:tcBorders>
            <w:shd w:val="clear" w:color="auto" w:fill="auto"/>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Competente digitale de utilizare a tehnologiei informatiei ca instrument de invatare si cunoastere</w:t>
            </w:r>
          </w:p>
        </w:tc>
        <w:tc>
          <w:tcPr>
            <w:tcW w:w="1052" w:type="dxa"/>
            <w:tcBorders>
              <w:top w:val="nil"/>
              <w:left w:val="nil"/>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2</w:t>
            </w:r>
          </w:p>
        </w:tc>
      </w:tr>
      <w:tr w:rsidR="00CE4A80" w:rsidRPr="006401B4" w:rsidTr="007C6D5B">
        <w:trPr>
          <w:trHeight w:val="525"/>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11</w:t>
            </w:r>
          </w:p>
        </w:tc>
        <w:tc>
          <w:tcPr>
            <w:tcW w:w="4004" w:type="dxa"/>
            <w:tcBorders>
              <w:top w:val="nil"/>
              <w:left w:val="nil"/>
              <w:bottom w:val="single" w:sz="4" w:space="0" w:color="auto"/>
              <w:right w:val="single" w:sz="4" w:space="0" w:color="auto"/>
            </w:tcBorders>
            <w:shd w:val="clear" w:color="auto" w:fill="auto"/>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Competente de baza de matematica stiinte si tehnologie</w:t>
            </w:r>
          </w:p>
        </w:tc>
        <w:tc>
          <w:tcPr>
            <w:tcW w:w="1052" w:type="dxa"/>
            <w:tcBorders>
              <w:top w:val="nil"/>
              <w:left w:val="nil"/>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2</w:t>
            </w:r>
          </w:p>
        </w:tc>
      </w:tr>
      <w:tr w:rsidR="00CE4A80" w:rsidRPr="006401B4" w:rsidTr="007C6D5B">
        <w:trPr>
          <w:trHeight w:val="315"/>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12</w:t>
            </w:r>
          </w:p>
        </w:tc>
        <w:tc>
          <w:tcPr>
            <w:tcW w:w="4004" w:type="dxa"/>
            <w:tcBorders>
              <w:top w:val="nil"/>
              <w:left w:val="nil"/>
              <w:bottom w:val="single" w:sz="4" w:space="0" w:color="auto"/>
              <w:right w:val="single" w:sz="4" w:space="0" w:color="auto"/>
            </w:tcBorders>
            <w:shd w:val="clear" w:color="auto" w:fill="auto"/>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Agent de securitate</w:t>
            </w:r>
          </w:p>
        </w:tc>
        <w:tc>
          <w:tcPr>
            <w:tcW w:w="1052" w:type="dxa"/>
            <w:tcBorders>
              <w:top w:val="nil"/>
              <w:left w:val="nil"/>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1</w:t>
            </w:r>
          </w:p>
        </w:tc>
      </w:tr>
      <w:tr w:rsidR="00CE4A80" w:rsidRPr="006401B4" w:rsidTr="007C6D5B">
        <w:trPr>
          <w:trHeight w:val="315"/>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13</w:t>
            </w:r>
          </w:p>
        </w:tc>
        <w:tc>
          <w:tcPr>
            <w:tcW w:w="4004" w:type="dxa"/>
            <w:tcBorders>
              <w:top w:val="nil"/>
              <w:left w:val="nil"/>
              <w:bottom w:val="single" w:sz="4" w:space="0" w:color="auto"/>
              <w:right w:val="single" w:sz="4" w:space="0" w:color="auto"/>
            </w:tcBorders>
            <w:shd w:val="clear" w:color="auto" w:fill="auto"/>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Florar-decorator</w:t>
            </w:r>
          </w:p>
        </w:tc>
        <w:tc>
          <w:tcPr>
            <w:tcW w:w="1052" w:type="dxa"/>
            <w:tcBorders>
              <w:top w:val="nil"/>
              <w:left w:val="nil"/>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1</w:t>
            </w:r>
          </w:p>
        </w:tc>
      </w:tr>
      <w:tr w:rsidR="00CE4A80" w:rsidRPr="006401B4" w:rsidTr="007C6D5B">
        <w:trPr>
          <w:trHeight w:val="315"/>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14</w:t>
            </w:r>
          </w:p>
        </w:tc>
        <w:tc>
          <w:tcPr>
            <w:tcW w:w="4004" w:type="dxa"/>
            <w:tcBorders>
              <w:top w:val="nil"/>
              <w:left w:val="nil"/>
              <w:bottom w:val="single" w:sz="4" w:space="0" w:color="auto"/>
              <w:right w:val="single" w:sz="4" w:space="0" w:color="auto"/>
            </w:tcBorders>
            <w:shd w:val="clear" w:color="auto" w:fill="auto"/>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Femeie de serviciu</w:t>
            </w:r>
          </w:p>
        </w:tc>
        <w:tc>
          <w:tcPr>
            <w:tcW w:w="1052" w:type="dxa"/>
            <w:tcBorders>
              <w:top w:val="nil"/>
              <w:left w:val="nil"/>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1</w:t>
            </w:r>
          </w:p>
        </w:tc>
      </w:tr>
      <w:tr w:rsidR="00CE4A80" w:rsidRPr="006401B4" w:rsidTr="007C6D5B">
        <w:trPr>
          <w:trHeight w:val="315"/>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lastRenderedPageBreak/>
              <w:t>15</w:t>
            </w:r>
          </w:p>
        </w:tc>
        <w:tc>
          <w:tcPr>
            <w:tcW w:w="4004" w:type="dxa"/>
            <w:tcBorders>
              <w:top w:val="nil"/>
              <w:left w:val="nil"/>
              <w:bottom w:val="single" w:sz="4" w:space="0" w:color="auto"/>
              <w:right w:val="single" w:sz="4" w:space="0" w:color="auto"/>
            </w:tcBorders>
            <w:shd w:val="clear" w:color="auto" w:fill="auto"/>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Menajera</w:t>
            </w:r>
          </w:p>
        </w:tc>
        <w:tc>
          <w:tcPr>
            <w:tcW w:w="1052" w:type="dxa"/>
            <w:tcBorders>
              <w:top w:val="nil"/>
              <w:left w:val="nil"/>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2</w:t>
            </w:r>
          </w:p>
        </w:tc>
      </w:tr>
      <w:tr w:rsidR="00CE4A80" w:rsidRPr="006401B4" w:rsidTr="007C6D5B">
        <w:trPr>
          <w:trHeight w:val="315"/>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16</w:t>
            </w:r>
          </w:p>
        </w:tc>
        <w:tc>
          <w:tcPr>
            <w:tcW w:w="4004" w:type="dxa"/>
            <w:tcBorders>
              <w:top w:val="nil"/>
              <w:left w:val="nil"/>
              <w:bottom w:val="single" w:sz="4" w:space="0" w:color="auto"/>
              <w:right w:val="single" w:sz="4" w:space="0" w:color="auto"/>
            </w:tcBorders>
            <w:shd w:val="clear" w:color="auto" w:fill="auto"/>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Ingrijitor spatii verzi</w:t>
            </w:r>
          </w:p>
        </w:tc>
        <w:tc>
          <w:tcPr>
            <w:tcW w:w="1052" w:type="dxa"/>
            <w:tcBorders>
              <w:top w:val="nil"/>
              <w:left w:val="nil"/>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3</w:t>
            </w:r>
          </w:p>
        </w:tc>
      </w:tr>
      <w:tr w:rsidR="00CE4A80" w:rsidRPr="006401B4" w:rsidTr="007C6D5B">
        <w:trPr>
          <w:trHeight w:val="315"/>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17</w:t>
            </w:r>
          </w:p>
        </w:tc>
        <w:tc>
          <w:tcPr>
            <w:tcW w:w="4004" w:type="dxa"/>
            <w:tcBorders>
              <w:top w:val="nil"/>
              <w:left w:val="nil"/>
              <w:bottom w:val="single" w:sz="4" w:space="0" w:color="auto"/>
              <w:right w:val="single" w:sz="4" w:space="0" w:color="auto"/>
            </w:tcBorders>
            <w:shd w:val="clear" w:color="auto" w:fill="auto"/>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Specialist in managementul deseurilor</w:t>
            </w:r>
          </w:p>
        </w:tc>
        <w:tc>
          <w:tcPr>
            <w:tcW w:w="1052" w:type="dxa"/>
            <w:tcBorders>
              <w:top w:val="nil"/>
              <w:left w:val="nil"/>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1</w:t>
            </w:r>
          </w:p>
        </w:tc>
      </w:tr>
      <w:tr w:rsidR="00CE4A80" w:rsidRPr="006401B4" w:rsidTr="007C6D5B">
        <w:trPr>
          <w:trHeight w:val="315"/>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18</w:t>
            </w:r>
          </w:p>
        </w:tc>
        <w:tc>
          <w:tcPr>
            <w:tcW w:w="4004" w:type="dxa"/>
            <w:tcBorders>
              <w:top w:val="nil"/>
              <w:left w:val="nil"/>
              <w:bottom w:val="single" w:sz="4" w:space="0" w:color="auto"/>
              <w:right w:val="single" w:sz="4" w:space="0" w:color="auto"/>
            </w:tcBorders>
            <w:shd w:val="clear" w:color="auto" w:fill="auto"/>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Frizer</w:t>
            </w:r>
          </w:p>
        </w:tc>
        <w:tc>
          <w:tcPr>
            <w:tcW w:w="1052" w:type="dxa"/>
            <w:tcBorders>
              <w:top w:val="nil"/>
              <w:left w:val="nil"/>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1</w:t>
            </w:r>
          </w:p>
        </w:tc>
      </w:tr>
      <w:tr w:rsidR="00CE4A80" w:rsidRPr="006401B4" w:rsidTr="007C6D5B">
        <w:trPr>
          <w:trHeight w:val="315"/>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19</w:t>
            </w:r>
          </w:p>
        </w:tc>
        <w:tc>
          <w:tcPr>
            <w:tcW w:w="4004" w:type="dxa"/>
            <w:tcBorders>
              <w:top w:val="nil"/>
              <w:left w:val="nil"/>
              <w:bottom w:val="single" w:sz="4" w:space="0" w:color="auto"/>
              <w:right w:val="single" w:sz="4" w:space="0" w:color="auto"/>
            </w:tcBorders>
            <w:shd w:val="clear" w:color="auto" w:fill="auto"/>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Manichiurist</w:t>
            </w:r>
          </w:p>
        </w:tc>
        <w:tc>
          <w:tcPr>
            <w:tcW w:w="1052" w:type="dxa"/>
            <w:tcBorders>
              <w:top w:val="nil"/>
              <w:left w:val="nil"/>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1</w:t>
            </w:r>
          </w:p>
        </w:tc>
      </w:tr>
      <w:tr w:rsidR="00CE4A80" w:rsidRPr="006401B4" w:rsidTr="007C6D5B">
        <w:trPr>
          <w:trHeight w:val="315"/>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20</w:t>
            </w:r>
          </w:p>
        </w:tc>
        <w:tc>
          <w:tcPr>
            <w:tcW w:w="4004" w:type="dxa"/>
            <w:tcBorders>
              <w:top w:val="nil"/>
              <w:left w:val="nil"/>
              <w:bottom w:val="single" w:sz="4" w:space="0" w:color="auto"/>
              <w:right w:val="single" w:sz="4" w:space="0" w:color="auto"/>
            </w:tcBorders>
            <w:shd w:val="clear" w:color="auto" w:fill="auto"/>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Infirmiera</w:t>
            </w:r>
          </w:p>
        </w:tc>
        <w:tc>
          <w:tcPr>
            <w:tcW w:w="1052" w:type="dxa"/>
            <w:tcBorders>
              <w:top w:val="nil"/>
              <w:left w:val="nil"/>
              <w:bottom w:val="single" w:sz="4" w:space="0" w:color="auto"/>
              <w:right w:val="single" w:sz="4" w:space="0" w:color="auto"/>
            </w:tcBorders>
            <w:shd w:val="clear" w:color="auto" w:fill="auto"/>
            <w:noWrap/>
            <w:vAlign w:val="bottom"/>
            <w:hideMark/>
          </w:tcPr>
          <w:p w:rsidR="00CE4A80" w:rsidRPr="006401B4" w:rsidRDefault="00CE4A80" w:rsidP="007C6D5B">
            <w:pPr>
              <w:pStyle w:val="ListParagraph"/>
              <w:widowControl w:val="0"/>
              <w:overflowPunct w:val="0"/>
              <w:autoSpaceDE w:val="0"/>
              <w:autoSpaceDN w:val="0"/>
              <w:adjustRightInd w:val="0"/>
              <w:rPr>
                <w:rFonts w:cs="Trebuchet MS"/>
              </w:rPr>
            </w:pPr>
            <w:r w:rsidRPr="006401B4">
              <w:rPr>
                <w:rFonts w:cs="Trebuchet MS"/>
              </w:rPr>
              <w:t>1</w:t>
            </w:r>
          </w:p>
        </w:tc>
      </w:tr>
    </w:tbl>
    <w:p w:rsidR="00821597" w:rsidRDefault="00821597">
      <w:bookmarkStart w:id="0" w:name="_GoBack"/>
      <w:bookmarkEnd w:id="0"/>
    </w:p>
    <w:sectPr w:rsidR="008215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3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000"/>
    <w:multiLevelType w:val="hybridMultilevel"/>
    <w:tmpl w:val="BE20797A"/>
    <w:lvl w:ilvl="0" w:tplc="CB0E63B0">
      <w:start w:val="1"/>
      <w:numFmt w:val="decimal"/>
      <w:lvlText w:val="%1."/>
      <w:lvlJc w:val="left"/>
      <w:pPr>
        <w:ind w:left="630" w:hanging="360"/>
      </w:pPr>
      <w:rPr>
        <w:rFonts w:ascii="Trebuchet MS" w:eastAsia="MS Mincho" w:hAnsi="Trebuchet MS"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A80"/>
    <w:rsid w:val="00821597"/>
    <w:rsid w:val="009F3489"/>
    <w:rsid w:val="00CE4A80"/>
    <w:rsid w:val="00D52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A80"/>
    <w:pPr>
      <w:spacing w:after="120"/>
      <w:ind w:left="1701"/>
      <w:jc w:val="both"/>
    </w:pPr>
    <w:rPr>
      <w:rFonts w:ascii="Trebuchet MS" w:eastAsia="MS Mincho" w:hAnsi="Trebuchet MS" w:cs="Times New Roman"/>
    </w:rPr>
  </w:style>
  <w:style w:type="paragraph" w:styleId="Heading3">
    <w:name w:val="heading 3"/>
    <w:basedOn w:val="Normal"/>
    <w:next w:val="Normal"/>
    <w:link w:val="Heading3Char"/>
    <w:uiPriority w:val="9"/>
    <w:unhideWhenUsed/>
    <w:qFormat/>
    <w:rsid w:val="00CE4A80"/>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4A80"/>
    <w:rPr>
      <w:rFonts w:ascii="Cambria" w:eastAsia="Times New Roman" w:hAnsi="Cambria" w:cs="Times New Roman"/>
      <w:b/>
      <w:bCs/>
      <w:color w:val="4F81BD"/>
    </w:rPr>
  </w:style>
  <w:style w:type="paragraph" w:styleId="ListParagraph">
    <w:name w:val="List Paragraph"/>
    <w:aliases w:val="Normal bullet 2,List Paragraph1,Forth level,List1,body 2,List Paragraph11,Listă colorată - Accentuare 11,Bullet,Citation List"/>
    <w:basedOn w:val="Normal"/>
    <w:link w:val="ListParagraphChar"/>
    <w:uiPriority w:val="72"/>
    <w:qFormat/>
    <w:rsid w:val="00CE4A80"/>
    <w:pPr>
      <w:ind w:left="720"/>
      <w:contextualSpacing/>
    </w:p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72"/>
    <w:rsid w:val="00CE4A80"/>
    <w:rPr>
      <w:rFonts w:ascii="Trebuchet MS" w:eastAsia="MS Mincho" w:hAnsi="Trebuchet M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A80"/>
    <w:pPr>
      <w:spacing w:after="120"/>
      <w:ind w:left="1701"/>
      <w:jc w:val="both"/>
    </w:pPr>
    <w:rPr>
      <w:rFonts w:ascii="Trebuchet MS" w:eastAsia="MS Mincho" w:hAnsi="Trebuchet MS" w:cs="Times New Roman"/>
    </w:rPr>
  </w:style>
  <w:style w:type="paragraph" w:styleId="Heading3">
    <w:name w:val="heading 3"/>
    <w:basedOn w:val="Normal"/>
    <w:next w:val="Normal"/>
    <w:link w:val="Heading3Char"/>
    <w:uiPriority w:val="9"/>
    <w:unhideWhenUsed/>
    <w:qFormat/>
    <w:rsid w:val="00CE4A80"/>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4A80"/>
    <w:rPr>
      <w:rFonts w:ascii="Cambria" w:eastAsia="Times New Roman" w:hAnsi="Cambria" w:cs="Times New Roman"/>
      <w:b/>
      <w:bCs/>
      <w:color w:val="4F81BD"/>
    </w:rPr>
  </w:style>
  <w:style w:type="paragraph" w:styleId="ListParagraph">
    <w:name w:val="List Paragraph"/>
    <w:aliases w:val="Normal bullet 2,List Paragraph1,Forth level,List1,body 2,List Paragraph11,Listă colorată - Accentuare 11,Bullet,Citation List"/>
    <w:basedOn w:val="Normal"/>
    <w:link w:val="ListParagraphChar"/>
    <w:uiPriority w:val="72"/>
    <w:qFormat/>
    <w:rsid w:val="00CE4A80"/>
    <w:pPr>
      <w:ind w:left="720"/>
      <w:contextualSpacing/>
    </w:p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72"/>
    <w:rsid w:val="00CE4A80"/>
    <w:rPr>
      <w:rFonts w:ascii="Trebuchet MS" w:eastAsia="MS Minch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1</cp:revision>
  <dcterms:created xsi:type="dcterms:W3CDTF">2025-02-21T10:37:00Z</dcterms:created>
  <dcterms:modified xsi:type="dcterms:W3CDTF">2025-02-21T10:38:00Z</dcterms:modified>
</cp:coreProperties>
</file>