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FB0046">
        <w:rPr>
          <w:sz w:val="24"/>
          <w:szCs w:val="24"/>
          <w:lang w:val="ro-RO"/>
        </w:rPr>
        <w:t>7</w:t>
      </w:r>
      <w:r w:rsidR="00901E25">
        <w:rPr>
          <w:sz w:val="24"/>
          <w:szCs w:val="24"/>
          <w:lang w:val="ro-RO"/>
        </w:rPr>
        <w:t xml:space="preserve"> iunie</w:t>
      </w:r>
      <w:r w:rsidR="0008725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901E25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834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>
        <w:rPr>
          <w:rFonts w:eastAsia="Times New Roman" w:cs="Arial"/>
          <w:sz w:val="24"/>
          <w:szCs w:val="24"/>
        </w:rPr>
        <w:t>prim</w:t>
      </w:r>
      <w:r w:rsidR="003804DC">
        <w:rPr>
          <w:rFonts w:eastAsia="Times New Roman" w:cs="Arial"/>
          <w:sz w:val="24"/>
          <w:szCs w:val="24"/>
        </w:rPr>
        <w:t>ele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5</w:t>
      </w:r>
      <w:r w:rsidR="003804DC">
        <w:rPr>
          <w:rFonts w:eastAsia="Times New Roman" w:cs="Arial"/>
          <w:sz w:val="24"/>
          <w:szCs w:val="24"/>
        </w:rPr>
        <w:t xml:space="preserve"> </w:t>
      </w:r>
      <w:proofErr w:type="spellStart"/>
      <w:r w:rsidR="003804DC">
        <w:rPr>
          <w:rFonts w:eastAsia="Times New Roman" w:cs="Arial"/>
          <w:sz w:val="24"/>
          <w:szCs w:val="24"/>
        </w:rPr>
        <w:t>luni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804DC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2550E9">
        <w:rPr>
          <w:rFonts w:eastAsia="Times New Roman" w:cs="Arial"/>
          <w:sz w:val="24"/>
          <w:szCs w:val="24"/>
        </w:rPr>
        <w:t>5</w:t>
      </w:r>
      <w:bookmarkStart w:id="0" w:name="_GoBack"/>
      <w:bookmarkEnd w:id="0"/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prim</w:t>
      </w:r>
      <w:r w:rsidR="003804DC">
        <w:rPr>
          <w:rFonts w:eastAsia="Times New Roman" w:cs="Arial"/>
          <w:sz w:val="24"/>
          <w:szCs w:val="24"/>
        </w:rPr>
        <w:t>ele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</w:t>
      </w:r>
      <w:r w:rsidR="00901E25">
        <w:rPr>
          <w:rFonts w:eastAsia="Times New Roman" w:cs="Arial"/>
          <w:sz w:val="24"/>
          <w:szCs w:val="24"/>
        </w:rPr>
        <w:t>5</w:t>
      </w:r>
      <w:r w:rsidR="003804DC">
        <w:rPr>
          <w:rFonts w:eastAsia="Times New Roman" w:cs="Arial"/>
          <w:sz w:val="24"/>
          <w:szCs w:val="24"/>
        </w:rPr>
        <w:t xml:space="preserve"> </w:t>
      </w:r>
      <w:proofErr w:type="spellStart"/>
      <w:r w:rsidR="003804DC">
        <w:rPr>
          <w:rFonts w:eastAsia="Times New Roman" w:cs="Arial"/>
          <w:sz w:val="24"/>
          <w:szCs w:val="24"/>
        </w:rPr>
        <w:t>luni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ale</w:t>
      </w:r>
      <w:r w:rsidR="002550E9" w:rsidRP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anului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2025</w:t>
      </w:r>
      <w:r w:rsidRPr="001F6CFC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834</w:t>
      </w:r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gramStart"/>
      <w:r w:rsidRPr="001F6CFC">
        <w:rPr>
          <w:rFonts w:eastAsia="Times New Roman" w:cs="Arial"/>
          <w:sz w:val="24"/>
          <w:szCs w:val="24"/>
        </w:rPr>
        <w:t>a</w:t>
      </w:r>
      <w:proofErr w:type="gram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901E25">
        <w:rPr>
          <w:rFonts w:eastAsia="Times New Roman" w:cs="Arial"/>
          <w:sz w:val="24"/>
          <w:szCs w:val="24"/>
        </w:rPr>
        <w:t xml:space="preserve">1 </w:t>
      </w:r>
      <w:proofErr w:type="spellStart"/>
      <w:r w:rsidR="00901E25">
        <w:rPr>
          <w:rFonts w:eastAsia="Times New Roman" w:cs="Arial"/>
          <w:sz w:val="24"/>
          <w:szCs w:val="24"/>
        </w:rPr>
        <w:t>mai</w:t>
      </w:r>
      <w:proofErr w:type="spellEnd"/>
      <w:r w:rsidR="002550E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2550E9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415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142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146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4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901E25">
        <w:rPr>
          <w:rFonts w:eastAsia="Times New Roman" w:cs="Arial"/>
          <w:sz w:val="24"/>
          <w:szCs w:val="24"/>
        </w:rPr>
        <w:t>131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2</w:t>
      </w:r>
      <w:r w:rsidR="0076357E" w:rsidRPr="0076357E">
        <w:rPr>
          <w:rFonts w:eastAsia="Times New Roman" w:cs="Arial"/>
          <w:sz w:val="24"/>
          <w:szCs w:val="24"/>
        </w:rPr>
        <w:t xml:space="preserve">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76357E" w:rsidRPr="0076357E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E612A5">
        <w:rPr>
          <w:rFonts w:cs="Arial"/>
          <w:sz w:val="24"/>
          <w:szCs w:val="24"/>
        </w:rPr>
        <w:t>1</w:t>
      </w:r>
      <w:r w:rsidR="00901E25">
        <w:rPr>
          <w:rFonts w:cs="Arial"/>
          <w:sz w:val="24"/>
          <w:szCs w:val="24"/>
        </w:rPr>
        <w:t>92</w:t>
      </w:r>
      <w:r w:rsidR="00B05B04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901E2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834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01E2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142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01E2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01E2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146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01E2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415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901E25">
        <w:rPr>
          <w:rFonts w:eastAsia="Times New Roman" w:cs="Arial"/>
          <w:sz w:val="24"/>
          <w:szCs w:val="24"/>
        </w:rPr>
        <w:t>395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901E25">
        <w:rPr>
          <w:rFonts w:eastAsia="Times New Roman" w:cs="Arial"/>
          <w:sz w:val="24"/>
          <w:szCs w:val="24"/>
        </w:rPr>
        <w:t>439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3804DC">
        <w:rPr>
          <w:rFonts w:eastAsia="Times New Roman" w:cs="Arial"/>
          <w:sz w:val="24"/>
          <w:szCs w:val="24"/>
        </w:rPr>
        <w:t>4</w:t>
      </w:r>
      <w:r w:rsidR="00901E25">
        <w:rPr>
          <w:rFonts w:eastAsia="Times New Roman" w:cs="Arial"/>
          <w:sz w:val="24"/>
          <w:szCs w:val="24"/>
        </w:rPr>
        <w:t>7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901E25">
        <w:rPr>
          <w:rFonts w:eastAsia="Times New Roman" w:cs="Arial"/>
          <w:sz w:val="24"/>
          <w:szCs w:val="24"/>
        </w:rPr>
        <w:t>36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</w:t>
      </w:r>
      <w:r w:rsidR="003804DC">
        <w:rPr>
          <w:rFonts w:eastAsia="Times New Roman" w:cs="Arial"/>
          <w:sz w:val="24"/>
          <w:szCs w:val="24"/>
        </w:rPr>
        <w:t xml:space="preserve"> 5</w:t>
      </w:r>
      <w:r w:rsidR="00901E25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>,</w:t>
      </w:r>
      <w:r w:rsidR="00901E25">
        <w:rPr>
          <w:rFonts w:eastAsia="Times New Roman" w:cs="Arial"/>
          <w:sz w:val="24"/>
          <w:szCs w:val="24"/>
        </w:rPr>
        <w:t>64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3804DC">
        <w:rPr>
          <w:rFonts w:eastAsia="Times New Roman" w:cs="Arial"/>
          <w:sz w:val="24"/>
          <w:szCs w:val="24"/>
        </w:rPr>
        <w:t>4</w:t>
      </w:r>
      <w:r w:rsidR="00901E25">
        <w:rPr>
          <w:rFonts w:eastAsia="Times New Roman" w:cs="Arial"/>
          <w:sz w:val="24"/>
          <w:szCs w:val="24"/>
        </w:rPr>
        <w:t>56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5112E1">
        <w:rPr>
          <w:rFonts w:eastAsia="Times New Roman" w:cs="Arial"/>
          <w:sz w:val="24"/>
          <w:szCs w:val="24"/>
        </w:rPr>
        <w:t>378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112E1">
        <w:rPr>
          <w:rFonts w:eastAsia="Times New Roman" w:cs="Arial"/>
          <w:sz w:val="24"/>
          <w:szCs w:val="24"/>
        </w:rPr>
        <w:t>326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112E1">
        <w:rPr>
          <w:rFonts w:eastAsia="Times New Roman" w:cs="Arial"/>
          <w:sz w:val="24"/>
          <w:szCs w:val="24"/>
        </w:rPr>
        <w:t>225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112E1">
        <w:rPr>
          <w:rFonts w:eastAsia="Times New Roman" w:cs="Arial"/>
          <w:sz w:val="24"/>
          <w:szCs w:val="24"/>
        </w:rPr>
        <w:t>132</w:t>
      </w:r>
      <w:r w:rsidRPr="008C0270">
        <w:rPr>
          <w:rFonts w:eastAsia="Times New Roman" w:cs="Arial"/>
          <w:sz w:val="24"/>
          <w:szCs w:val="24"/>
        </w:rPr>
        <w:t>)</w:t>
      </w:r>
      <w:r w:rsidR="005112E1">
        <w:rPr>
          <w:rFonts w:eastAsia="Times New Roman" w:cs="Arial"/>
          <w:sz w:val="24"/>
          <w:szCs w:val="24"/>
        </w:rPr>
        <w:t>, 62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 xml:space="preserve"> </w:t>
      </w:r>
      <w:r w:rsidR="005112E1">
        <w:rPr>
          <w:rFonts w:eastAsia="Times New Roman" w:cs="Arial"/>
          <w:sz w:val="24"/>
          <w:szCs w:val="24"/>
        </w:rPr>
        <w:t>229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1F30A7">
        <w:rPr>
          <w:rFonts w:eastAsia="Times New Roman" w:cs="Arial"/>
          <w:sz w:val="24"/>
          <w:szCs w:val="24"/>
        </w:rPr>
        <w:t>2</w:t>
      </w:r>
      <w:r w:rsidR="005112E1">
        <w:rPr>
          <w:rFonts w:eastAsia="Times New Roman" w:cs="Arial"/>
          <w:sz w:val="24"/>
          <w:szCs w:val="24"/>
        </w:rPr>
        <w:t>7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5112E1">
        <w:rPr>
          <w:rFonts w:eastAsia="Times New Roman" w:cs="Arial"/>
          <w:sz w:val="24"/>
          <w:szCs w:val="24"/>
        </w:rPr>
        <w:t>46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5112E1">
        <w:rPr>
          <w:rFonts w:eastAsia="Times New Roman" w:cs="Arial"/>
          <w:sz w:val="24"/>
          <w:szCs w:val="24"/>
        </w:rPr>
        <w:t>2</w:t>
      </w:r>
      <w:r w:rsidR="00E612A5">
        <w:rPr>
          <w:rFonts w:eastAsia="Times New Roman" w:cs="Arial"/>
          <w:sz w:val="24"/>
          <w:szCs w:val="24"/>
        </w:rPr>
        <w:t>.</w:t>
      </w:r>
      <w:r w:rsidR="005112E1">
        <w:rPr>
          <w:rFonts w:eastAsia="Times New Roman" w:cs="Arial"/>
          <w:sz w:val="24"/>
          <w:szCs w:val="24"/>
        </w:rPr>
        <w:t>061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69" w:rsidRDefault="00B76F69" w:rsidP="00CD5B3B">
      <w:r>
        <w:separator/>
      </w:r>
    </w:p>
  </w:endnote>
  <w:endnote w:type="continuationSeparator" w:id="0">
    <w:p w:rsidR="00B76F69" w:rsidRDefault="00B76F6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B76F6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B76F69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B0046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B76F69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B0046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69" w:rsidRDefault="00B76F69" w:rsidP="00CD5B3B">
      <w:r>
        <w:separator/>
      </w:r>
    </w:p>
  </w:footnote>
  <w:footnote w:type="continuationSeparator" w:id="0">
    <w:p w:rsidR="00B76F69" w:rsidRDefault="00B76F6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253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4DE0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30A7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550E9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04DC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3FF6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96AF4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D61B0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2E1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399C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4132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1E25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5784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692F"/>
    <w:rsid w:val="00AF036D"/>
    <w:rsid w:val="00AF73C5"/>
    <w:rsid w:val="00AF7401"/>
    <w:rsid w:val="00B02D18"/>
    <w:rsid w:val="00B02E36"/>
    <w:rsid w:val="00B05A31"/>
    <w:rsid w:val="00B05B04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76F6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4447E"/>
    <w:rsid w:val="00C50579"/>
    <w:rsid w:val="00C539DE"/>
    <w:rsid w:val="00C56257"/>
    <w:rsid w:val="00C56BA2"/>
    <w:rsid w:val="00C57A0D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48B4"/>
    <w:rsid w:val="00D27F75"/>
    <w:rsid w:val="00D424AC"/>
    <w:rsid w:val="00D44463"/>
    <w:rsid w:val="00D53762"/>
    <w:rsid w:val="00D54849"/>
    <w:rsid w:val="00D57E23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12A5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D68A0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0046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1AD-B8F6-42DD-8115-458AC6FB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2</Pages>
  <Words>407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232</cp:revision>
  <cp:lastPrinted>2025-06-24T09:05:00Z</cp:lastPrinted>
  <dcterms:created xsi:type="dcterms:W3CDTF">2019-01-03T12:47:00Z</dcterms:created>
  <dcterms:modified xsi:type="dcterms:W3CDTF">2025-06-27T10:11:00Z</dcterms:modified>
</cp:coreProperties>
</file>