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 w:firstRow="1" w:lastRow="0" w:firstColumn="1" w:lastColumn="0" w:noHBand="0" w:noVBand="1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="00323B35">
              <w:rPr>
                <w:rFonts w:ascii="Trebuchet MS" w:eastAsia="Times New Roman" w:hAnsi="Trebuchet MS" w:cs="Arial"/>
              </w:rPr>
              <w:t>ş</w:t>
            </w:r>
            <w:r w:rsidRPr="0017369A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652796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28522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22578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19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C52822" w:rsidRPr="0017369A" w:rsidRDefault="00BF6EFF" w:rsidP="00C90DB2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3629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30</w:t>
            </w:r>
            <w:r>
              <w:rPr>
                <w:rFonts w:ascii="Trebuchet MS" w:eastAsia="Times New Roman" w:hAnsi="Trebuchet MS" w:cs="Arial"/>
                <w:lang w:val="ro-RO"/>
              </w:rPr>
              <w:t>.0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21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5607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24</w:t>
            </w:r>
            <w:r>
              <w:rPr>
                <w:rFonts w:ascii="Trebuchet MS" w:eastAsia="Times New Roman" w:hAnsi="Trebuchet MS" w:cs="Arial"/>
                <w:lang w:val="ro-RO"/>
              </w:rPr>
              <w:t>.0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21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loc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C90DB2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2</w:t>
            </w:r>
            <w:r w:rsidR="00BF6EFF">
              <w:rPr>
                <w:rFonts w:ascii="Trebuchet MS" w:eastAsia="Times New Roman" w:hAnsi="Trebuchet MS" w:cs="Arial"/>
              </w:rPr>
              <w:t xml:space="preserve"> an</w:t>
            </w:r>
            <w:r>
              <w:rPr>
                <w:rFonts w:ascii="Trebuchet MS" w:eastAsia="Times New Roman" w:hAnsi="Trebuchet MS" w:cs="Arial"/>
              </w:rPr>
              <w:t>i</w:t>
            </w:r>
            <w:bookmarkStart w:id="0" w:name="_GoBack"/>
            <w:bookmarkEnd w:id="0"/>
            <w:r w:rsidR="00BF6EFF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posibili</w:t>
            </w:r>
            <w:r w:rsidR="00BF6EFF">
              <w:rPr>
                <w:rFonts w:ascii="Trebuchet MS" w:eastAsia="Times New Roman" w:hAnsi="Trebuchet MS" w:cs="Arial"/>
              </w:rPr>
              <w:t>t</w:t>
            </w:r>
            <w:r w:rsidR="00BF6EFF"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BF6EFF" w:rsidRPr="0017369A" w:rsidRDefault="00BF6EFF" w:rsidP="00323B35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– nr 2593/08.03.2012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69A"/>
    <w:rsid w:val="00016CA7"/>
    <w:rsid w:val="00084BED"/>
    <w:rsid w:val="0017369A"/>
    <w:rsid w:val="00323B35"/>
    <w:rsid w:val="00567F4C"/>
    <w:rsid w:val="00651380"/>
    <w:rsid w:val="00652796"/>
    <w:rsid w:val="006B2C25"/>
    <w:rsid w:val="009D6182"/>
    <w:rsid w:val="00BF6EFF"/>
    <w:rsid w:val="00C21CB0"/>
    <w:rsid w:val="00C52822"/>
    <w:rsid w:val="00C90DB2"/>
    <w:rsid w:val="00CF1B59"/>
    <w:rsid w:val="00E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10</cp:revision>
  <dcterms:created xsi:type="dcterms:W3CDTF">2019-01-10T11:00:00Z</dcterms:created>
  <dcterms:modified xsi:type="dcterms:W3CDTF">2025-02-25T13:34:00Z</dcterms:modified>
</cp:coreProperties>
</file>